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88" w:rsidRDefault="0011787E">
      <w:pPr>
        <w:spacing w:before="60"/>
        <w:ind w:left="200" w:right="3896"/>
        <w:rPr>
          <w:b/>
          <w:sz w:val="48"/>
        </w:rPr>
      </w:pPr>
      <w:r>
        <w:rPr>
          <w:b/>
          <w:spacing w:val="-5"/>
          <w:sz w:val="48"/>
        </w:rPr>
        <w:t xml:space="preserve">3mE </w:t>
      </w:r>
      <w:r>
        <w:rPr>
          <w:b/>
          <w:spacing w:val="-7"/>
          <w:sz w:val="48"/>
        </w:rPr>
        <w:t xml:space="preserve">Teacher’s </w:t>
      </w:r>
      <w:r>
        <w:rPr>
          <w:b/>
          <w:spacing w:val="-8"/>
          <w:sz w:val="48"/>
        </w:rPr>
        <w:t>Information 2018-2019</w:t>
      </w:r>
    </w:p>
    <w:p w:rsidR="00592988" w:rsidRDefault="0011787E">
      <w:pPr>
        <w:spacing w:before="317"/>
        <w:ind w:left="200"/>
        <w:rPr>
          <w:b/>
          <w:sz w:val="28"/>
        </w:rPr>
      </w:pPr>
      <w:r>
        <w:rPr>
          <w:b/>
          <w:sz w:val="28"/>
        </w:rPr>
        <w:t>CONTENT</w:t>
      </w:r>
    </w:p>
    <w:sdt>
      <w:sdtPr>
        <w:id w:val="1230735155"/>
        <w:docPartObj>
          <w:docPartGallery w:val="Table of Contents"/>
          <w:docPartUnique/>
        </w:docPartObj>
      </w:sdtPr>
      <w:sdtEndPr/>
      <w:sdtContent>
        <w:p w:rsidR="00592988" w:rsidRDefault="0078751F">
          <w:pPr>
            <w:pStyle w:val="TOC1"/>
            <w:tabs>
              <w:tab w:val="right" w:leader="dot" w:pos="9937"/>
            </w:tabs>
            <w:spacing w:before="58"/>
          </w:pPr>
          <w:hyperlink w:anchor="_bookmark0" w:history="1">
            <w:r w:rsidR="0011787E">
              <w:t>General Information</w:t>
            </w:r>
            <w:r w:rsidR="0011787E">
              <w:tab/>
              <w:t>1</w:t>
            </w:r>
          </w:hyperlink>
        </w:p>
        <w:p w:rsidR="00592988" w:rsidRDefault="0078751F">
          <w:pPr>
            <w:pStyle w:val="TOC1"/>
            <w:tabs>
              <w:tab w:val="right" w:leader="dot" w:pos="9937"/>
            </w:tabs>
          </w:pPr>
          <w:hyperlink w:anchor="_bookmark1" w:history="1">
            <w:r w:rsidR="0011787E">
              <w:t>New incoming</w:t>
            </w:r>
            <w:r w:rsidR="0011787E">
              <w:rPr>
                <w:spacing w:val="-5"/>
              </w:rPr>
              <w:t xml:space="preserve"> </w:t>
            </w:r>
            <w:r w:rsidR="0011787E">
              <w:t>students 2018-2019</w:t>
            </w:r>
            <w:r w:rsidR="0011787E">
              <w:tab/>
              <w:t>1</w:t>
            </w:r>
          </w:hyperlink>
        </w:p>
        <w:p w:rsidR="00592988" w:rsidRDefault="0078751F">
          <w:pPr>
            <w:pStyle w:val="TOC1"/>
            <w:tabs>
              <w:tab w:val="right" w:leader="dot" w:pos="9937"/>
            </w:tabs>
          </w:pPr>
          <w:hyperlink w:anchor="_bookmark2" w:history="1">
            <w:r w:rsidR="0011787E">
              <w:t>Important changes in 3mE rules</w:t>
            </w:r>
            <w:r w:rsidR="0011787E">
              <w:rPr>
                <w:spacing w:val="-3"/>
              </w:rPr>
              <w:t xml:space="preserve"> </w:t>
            </w:r>
            <w:r w:rsidR="0011787E">
              <w:t>and</w:t>
            </w:r>
            <w:r w:rsidR="0011787E">
              <w:rPr>
                <w:spacing w:val="-1"/>
              </w:rPr>
              <w:t xml:space="preserve"> </w:t>
            </w:r>
            <w:r w:rsidR="0011787E">
              <w:t>regulations</w:t>
            </w:r>
            <w:r w:rsidR="0011787E">
              <w:tab/>
              <w:t>2</w:t>
            </w:r>
          </w:hyperlink>
        </w:p>
        <w:p w:rsidR="00592988" w:rsidRDefault="0078751F">
          <w:pPr>
            <w:pStyle w:val="TOC1"/>
            <w:tabs>
              <w:tab w:val="right" w:leader="dot" w:pos="9937"/>
            </w:tabs>
            <w:spacing w:before="113"/>
          </w:pPr>
          <w:hyperlink w:anchor="_bookmark3" w:history="1">
            <w:r w:rsidR="0011787E">
              <w:t>Summary of Education Day</w:t>
            </w:r>
            <w:r w:rsidR="0011787E">
              <w:rPr>
                <w:spacing w:val="-10"/>
              </w:rPr>
              <w:t xml:space="preserve"> </w:t>
            </w:r>
            <w:r w:rsidR="0011787E">
              <w:t>3mE</w:t>
            </w:r>
            <w:r w:rsidR="0011787E">
              <w:rPr>
                <w:spacing w:val="-1"/>
              </w:rPr>
              <w:t xml:space="preserve"> </w:t>
            </w:r>
            <w:r w:rsidR="0011787E">
              <w:t>2018</w:t>
            </w:r>
            <w:r w:rsidR="0011787E">
              <w:tab/>
              <w:t>4</w:t>
            </w:r>
          </w:hyperlink>
        </w:p>
        <w:p w:rsidR="00592988" w:rsidRDefault="0078751F">
          <w:pPr>
            <w:pStyle w:val="TOC1"/>
            <w:tabs>
              <w:tab w:val="right" w:leader="dot" w:pos="9937"/>
            </w:tabs>
          </w:pPr>
          <w:hyperlink w:anchor="_bookmark4" w:history="1">
            <w:r w:rsidR="0011787E">
              <w:t>Practical</w:t>
            </w:r>
            <w:r w:rsidR="0011787E">
              <w:rPr>
                <w:spacing w:val="-3"/>
              </w:rPr>
              <w:t xml:space="preserve"> </w:t>
            </w:r>
            <w:r w:rsidR="0011787E">
              <w:t>News</w:t>
            </w:r>
            <w:r w:rsidR="0011787E">
              <w:tab/>
              <w:t>5</w:t>
            </w:r>
          </w:hyperlink>
        </w:p>
        <w:p w:rsidR="00592988" w:rsidRDefault="0078751F">
          <w:pPr>
            <w:pStyle w:val="TOC1"/>
            <w:tabs>
              <w:tab w:val="right" w:leader="dot" w:pos="9936"/>
            </w:tabs>
          </w:pPr>
          <w:hyperlink w:anchor="_bookmark5" w:history="1">
            <w:r w:rsidR="0011787E">
              <w:t>ESA 3mE -</w:t>
            </w:r>
            <w:r w:rsidR="0011787E">
              <w:rPr>
                <w:spacing w:val="-5"/>
              </w:rPr>
              <w:t xml:space="preserve"> </w:t>
            </w:r>
            <w:r w:rsidR="0011787E">
              <w:t>Contact</w:t>
            </w:r>
            <w:r w:rsidR="0011787E">
              <w:rPr>
                <w:spacing w:val="-1"/>
              </w:rPr>
              <w:t xml:space="preserve"> </w:t>
            </w:r>
            <w:r w:rsidR="0011787E">
              <w:t>persons</w:t>
            </w:r>
            <w:r w:rsidR="0011787E">
              <w:tab/>
              <w:t>6</w:t>
            </w:r>
          </w:hyperlink>
        </w:p>
        <w:p w:rsidR="00592988" w:rsidRDefault="0078751F">
          <w:pPr>
            <w:pStyle w:val="TOC1"/>
            <w:tabs>
              <w:tab w:val="right" w:leader="dot" w:pos="9937"/>
            </w:tabs>
            <w:spacing w:before="113"/>
          </w:pPr>
          <w:hyperlink w:anchor="_bookmark6" w:history="1">
            <w:r w:rsidR="0011787E">
              <w:t>Miscellaneous</w:t>
            </w:r>
            <w:r w:rsidR="0011787E">
              <w:tab/>
              <w:t>6</w:t>
            </w:r>
          </w:hyperlink>
        </w:p>
      </w:sdtContent>
    </w:sdt>
    <w:p w:rsidR="00592988" w:rsidRDefault="006C25A8">
      <w:pPr>
        <w:pStyle w:val="BodyText"/>
        <w:spacing w:before="1"/>
        <w:rPr>
          <w:sz w:val="29"/>
        </w:rPr>
      </w:pPr>
      <w:r>
        <w:rPr>
          <w:noProof/>
          <w:lang w:val="nl-NL" w:eastAsia="nl-NL" w:bidi="ar-SA"/>
        </w:rPr>
        <mc:AlternateContent>
          <mc:Choice Requires="wps">
            <w:drawing>
              <wp:anchor distT="0" distB="0" distL="0" distR="0" simplePos="0" relativeHeight="251658240" behindDoc="1" locked="0" layoutInCell="1" allowOverlap="1">
                <wp:simplePos x="0" y="0"/>
                <wp:positionH relativeFrom="page">
                  <wp:posOffset>667385</wp:posOffset>
                </wp:positionH>
                <wp:positionV relativeFrom="paragraph">
                  <wp:posOffset>242570</wp:posOffset>
                </wp:positionV>
                <wp:extent cx="6225540" cy="0"/>
                <wp:effectExtent l="10160" t="11430" r="12700" b="762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36F62"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19.1pt" to="542.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" strokeweight=".72pt">
                <w10:wrap type="topAndBottom" anchorx="page"/>
              </v:line>
            </w:pict>
          </mc:Fallback>
        </mc:AlternateContent>
      </w:r>
    </w:p>
    <w:p w:rsidR="00592988" w:rsidRDefault="00592988">
      <w:pPr>
        <w:pStyle w:val="BodyText"/>
        <w:spacing w:before="9"/>
        <w:rPr>
          <w:sz w:val="24"/>
        </w:rPr>
      </w:pPr>
    </w:p>
    <w:p w:rsidR="00592988" w:rsidRDefault="0011787E">
      <w:pPr>
        <w:pStyle w:val="Heading1"/>
      </w:pPr>
      <w:bookmarkStart w:id="0" w:name="General_Information"/>
      <w:bookmarkStart w:id="1" w:name="_bookmark0"/>
      <w:bookmarkEnd w:id="0"/>
      <w:bookmarkEnd w:id="1"/>
      <w:r>
        <w:t>GENERAL INFORMATION</w:t>
      </w:r>
    </w:p>
    <w:p w:rsidR="00592988" w:rsidRDefault="00592988">
      <w:pPr>
        <w:pStyle w:val="BodyText"/>
        <w:spacing w:before="11"/>
        <w:rPr>
          <w:b/>
          <w:sz w:val="39"/>
        </w:rPr>
      </w:pPr>
    </w:p>
    <w:p w:rsidR="00592988" w:rsidRDefault="0011787E">
      <w:pPr>
        <w:pStyle w:val="Heading2"/>
        <w:spacing w:before="0"/>
      </w:pPr>
      <w:bookmarkStart w:id="2" w:name="Important_dates_2018-2019"/>
      <w:bookmarkEnd w:id="2"/>
      <w:r>
        <w:t>Important dates 2018-2019</w:t>
      </w:r>
    </w:p>
    <w:p w:rsidR="00592988" w:rsidRDefault="0011787E">
      <w:pPr>
        <w:pStyle w:val="BodyText"/>
        <w:spacing w:before="16" w:line="252" w:lineRule="auto"/>
        <w:ind w:left="200" w:right="387"/>
      </w:pPr>
      <w:r>
        <w:t xml:space="preserve">Do you want to know </w:t>
      </w:r>
      <w:bookmarkStart w:id="3" w:name="_GoBack"/>
      <w:bookmarkEnd w:id="3"/>
      <w:r>
        <w:t xml:space="preserve">when exam periods are held or what the academic year looks like? Have a look at the overview of the </w:t>
      </w:r>
      <w:hyperlink r:id="rId7">
        <w:r>
          <w:rPr>
            <w:color w:val="0000FF"/>
            <w:u w:val="single" w:color="0000FF"/>
          </w:rPr>
          <w:t>Academic Year</w:t>
        </w:r>
        <w:r>
          <w:t>.</w:t>
        </w:r>
      </w:hyperlink>
    </w:p>
    <w:p w:rsidR="00592988" w:rsidRDefault="00592988">
      <w:pPr>
        <w:pStyle w:val="BodyText"/>
        <w:spacing w:before="7"/>
        <w:rPr>
          <w:sz w:val="26"/>
        </w:rPr>
      </w:pPr>
    </w:p>
    <w:p w:rsidR="00592988" w:rsidRDefault="0011787E">
      <w:pPr>
        <w:pStyle w:val="Heading2"/>
        <w:spacing w:after="24"/>
      </w:pPr>
      <w:bookmarkStart w:id="4" w:name="Events"/>
      <w:bookmarkEnd w:id="4"/>
      <w:r>
        <w:t>Events</w:t>
      </w:r>
    </w:p>
    <w:tbl>
      <w:tblPr>
        <w:tblW w:w="0" w:type="auto"/>
        <w:tblInd w:w="115" w:type="dxa"/>
        <w:tblLayout w:type="fixed"/>
        <w:tblCellMar>
          <w:left w:w="0" w:type="dxa"/>
          <w:right w:w="0" w:type="dxa"/>
        </w:tblCellMar>
        <w:tblLook w:val="01E0" w:firstRow="1" w:lastRow="1" w:firstColumn="1" w:lastColumn="1" w:noHBand="0" w:noVBand="0"/>
      </w:tblPr>
      <w:tblGrid>
        <w:gridCol w:w="4812"/>
        <w:gridCol w:w="3387"/>
      </w:tblGrid>
      <w:tr w:rsidR="00592988">
        <w:trPr>
          <w:trHeight w:val="226"/>
        </w:trPr>
        <w:tc>
          <w:tcPr>
            <w:tcW w:w="4812" w:type="dxa"/>
          </w:tcPr>
          <w:p w:rsidR="00592988" w:rsidRDefault="0011787E">
            <w:pPr>
              <w:pStyle w:val="TableParagraph"/>
              <w:spacing w:line="206" w:lineRule="exact"/>
              <w:ind w:left="200"/>
              <w:rPr>
                <w:sz w:val="20"/>
              </w:rPr>
            </w:pPr>
            <w:r>
              <w:rPr>
                <w:color w:val="A7A8A7"/>
                <w:sz w:val="20"/>
              </w:rPr>
              <w:t>Sophomore – Tweedejaarsviering BSc</w:t>
            </w:r>
          </w:p>
        </w:tc>
        <w:tc>
          <w:tcPr>
            <w:tcW w:w="3387" w:type="dxa"/>
          </w:tcPr>
          <w:p w:rsidR="00592988" w:rsidRDefault="0011787E">
            <w:pPr>
              <w:pStyle w:val="TableParagraph"/>
              <w:spacing w:line="206" w:lineRule="exact"/>
              <w:ind w:left="1200"/>
              <w:rPr>
                <w:sz w:val="20"/>
              </w:rPr>
            </w:pPr>
            <w:r>
              <w:rPr>
                <w:color w:val="A7A8A7"/>
                <w:sz w:val="20"/>
              </w:rPr>
              <w:t>13 September 2018</w:t>
            </w:r>
          </w:p>
        </w:tc>
      </w:tr>
      <w:tr w:rsidR="00592988">
        <w:trPr>
          <w:trHeight w:val="230"/>
        </w:trPr>
        <w:tc>
          <w:tcPr>
            <w:tcW w:w="4812" w:type="dxa"/>
          </w:tcPr>
          <w:p w:rsidR="00592988" w:rsidRDefault="0011787E">
            <w:pPr>
              <w:pStyle w:val="TableParagraph"/>
              <w:ind w:left="200"/>
              <w:rPr>
                <w:sz w:val="20"/>
              </w:rPr>
            </w:pPr>
            <w:r>
              <w:rPr>
                <w:color w:val="A7A8A7"/>
                <w:sz w:val="20"/>
              </w:rPr>
              <w:t>Graduation ceremony BSc KT</w:t>
            </w:r>
          </w:p>
        </w:tc>
        <w:tc>
          <w:tcPr>
            <w:tcW w:w="3387" w:type="dxa"/>
          </w:tcPr>
          <w:p w:rsidR="00592988" w:rsidRDefault="0011787E">
            <w:pPr>
              <w:pStyle w:val="TableParagraph"/>
              <w:ind w:left="1200"/>
              <w:rPr>
                <w:sz w:val="20"/>
              </w:rPr>
            </w:pPr>
            <w:r>
              <w:rPr>
                <w:color w:val="A7A8A7"/>
                <w:sz w:val="20"/>
              </w:rPr>
              <w:t>11 October 2018</w:t>
            </w:r>
          </w:p>
        </w:tc>
      </w:tr>
      <w:tr w:rsidR="00592988">
        <w:trPr>
          <w:trHeight w:val="229"/>
        </w:trPr>
        <w:tc>
          <w:tcPr>
            <w:tcW w:w="4812" w:type="dxa"/>
          </w:tcPr>
          <w:p w:rsidR="00592988" w:rsidRDefault="0011787E">
            <w:pPr>
              <w:pStyle w:val="TableParagraph"/>
              <w:spacing w:line="209" w:lineRule="exact"/>
              <w:ind w:left="200"/>
              <w:rPr>
                <w:sz w:val="20"/>
              </w:rPr>
            </w:pPr>
            <w:r>
              <w:rPr>
                <w:sz w:val="20"/>
              </w:rPr>
              <w:t>BSc Open Days TU Delft*</w:t>
            </w:r>
          </w:p>
        </w:tc>
        <w:tc>
          <w:tcPr>
            <w:tcW w:w="3387" w:type="dxa"/>
          </w:tcPr>
          <w:p w:rsidR="00592988" w:rsidRDefault="0011787E">
            <w:pPr>
              <w:pStyle w:val="TableParagraph"/>
              <w:spacing w:line="209" w:lineRule="exact"/>
              <w:ind w:left="1200"/>
              <w:rPr>
                <w:sz w:val="20"/>
              </w:rPr>
            </w:pPr>
            <w:r>
              <w:rPr>
                <w:sz w:val="20"/>
              </w:rPr>
              <w:t>19 &amp; 22 October 2018</w:t>
            </w:r>
          </w:p>
        </w:tc>
      </w:tr>
      <w:tr w:rsidR="00592988">
        <w:trPr>
          <w:trHeight w:val="459"/>
        </w:trPr>
        <w:tc>
          <w:tcPr>
            <w:tcW w:w="4812" w:type="dxa"/>
          </w:tcPr>
          <w:p w:rsidR="00592988" w:rsidRDefault="0011787E">
            <w:pPr>
              <w:pStyle w:val="TableParagraph"/>
              <w:spacing w:line="225" w:lineRule="exact"/>
              <w:ind w:left="200"/>
              <w:rPr>
                <w:sz w:val="20"/>
              </w:rPr>
            </w:pPr>
            <w:r>
              <w:rPr>
                <w:sz w:val="20"/>
              </w:rPr>
              <w:t>TU Delft Education Day</w:t>
            </w:r>
          </w:p>
        </w:tc>
        <w:tc>
          <w:tcPr>
            <w:tcW w:w="3387" w:type="dxa"/>
          </w:tcPr>
          <w:p w:rsidR="00592988" w:rsidRDefault="0011787E">
            <w:pPr>
              <w:pStyle w:val="TableParagraph"/>
              <w:spacing w:line="225" w:lineRule="exact"/>
              <w:ind w:left="1200"/>
              <w:rPr>
                <w:sz w:val="20"/>
              </w:rPr>
            </w:pPr>
            <w:r>
              <w:rPr>
                <w:sz w:val="20"/>
              </w:rPr>
              <w:t>8 November 2018</w:t>
            </w:r>
          </w:p>
          <w:p w:rsidR="00592988" w:rsidRDefault="0078751F">
            <w:pPr>
              <w:pStyle w:val="TableParagraph"/>
              <w:spacing w:line="214" w:lineRule="exact"/>
              <w:ind w:left="1200"/>
              <w:rPr>
                <w:sz w:val="20"/>
              </w:rPr>
            </w:pPr>
            <w:hyperlink r:id="rId8">
              <w:r w:rsidR="0011787E">
                <w:rPr>
                  <w:color w:val="0000FF"/>
                  <w:sz w:val="20"/>
                  <w:u w:val="single" w:color="0000FF"/>
                </w:rPr>
                <w:t>Registration is open</w:t>
              </w:r>
            </w:hyperlink>
          </w:p>
        </w:tc>
      </w:tr>
      <w:tr w:rsidR="00592988">
        <w:trPr>
          <w:trHeight w:val="230"/>
        </w:trPr>
        <w:tc>
          <w:tcPr>
            <w:tcW w:w="4812" w:type="dxa"/>
          </w:tcPr>
          <w:p w:rsidR="00592988" w:rsidRDefault="0011787E">
            <w:pPr>
              <w:pStyle w:val="TableParagraph"/>
              <w:ind w:left="200"/>
              <w:rPr>
                <w:sz w:val="20"/>
              </w:rPr>
            </w:pPr>
            <w:r>
              <w:rPr>
                <w:sz w:val="20"/>
              </w:rPr>
              <w:t>Graduation ceremony BSc Wb &amp; MT</w:t>
            </w:r>
          </w:p>
        </w:tc>
        <w:tc>
          <w:tcPr>
            <w:tcW w:w="3387" w:type="dxa"/>
          </w:tcPr>
          <w:p w:rsidR="00592988" w:rsidRDefault="0011787E">
            <w:pPr>
              <w:pStyle w:val="TableParagraph"/>
              <w:ind w:left="1200"/>
              <w:rPr>
                <w:sz w:val="20"/>
              </w:rPr>
            </w:pPr>
            <w:r>
              <w:rPr>
                <w:sz w:val="20"/>
              </w:rPr>
              <w:t>13 November 2018</w:t>
            </w:r>
          </w:p>
        </w:tc>
      </w:tr>
      <w:tr w:rsidR="00592988">
        <w:trPr>
          <w:trHeight w:val="230"/>
        </w:trPr>
        <w:tc>
          <w:tcPr>
            <w:tcW w:w="4812" w:type="dxa"/>
          </w:tcPr>
          <w:p w:rsidR="00592988" w:rsidRDefault="0011787E">
            <w:pPr>
              <w:pStyle w:val="TableParagraph"/>
              <w:ind w:left="200"/>
              <w:rPr>
                <w:sz w:val="20"/>
              </w:rPr>
            </w:pPr>
            <w:r>
              <w:rPr>
                <w:sz w:val="20"/>
              </w:rPr>
              <w:t>Study Abroad Week</w:t>
            </w:r>
          </w:p>
        </w:tc>
        <w:tc>
          <w:tcPr>
            <w:tcW w:w="3387" w:type="dxa"/>
          </w:tcPr>
          <w:p w:rsidR="00592988" w:rsidRDefault="0011787E">
            <w:pPr>
              <w:pStyle w:val="TableParagraph"/>
              <w:ind w:left="1200"/>
              <w:rPr>
                <w:sz w:val="20"/>
              </w:rPr>
            </w:pPr>
            <w:r>
              <w:rPr>
                <w:sz w:val="20"/>
              </w:rPr>
              <w:t>12-14 November 2018</w:t>
            </w:r>
          </w:p>
        </w:tc>
      </w:tr>
      <w:tr w:rsidR="00592988">
        <w:trPr>
          <w:trHeight w:val="230"/>
        </w:trPr>
        <w:tc>
          <w:tcPr>
            <w:tcW w:w="4812" w:type="dxa"/>
          </w:tcPr>
          <w:p w:rsidR="00592988" w:rsidRDefault="0011787E">
            <w:pPr>
              <w:pStyle w:val="TableParagraph"/>
              <w:ind w:left="200"/>
              <w:rPr>
                <w:sz w:val="20"/>
              </w:rPr>
            </w:pPr>
            <w:r>
              <w:rPr>
                <w:sz w:val="20"/>
              </w:rPr>
              <w:t>MSc event TU Delft</w:t>
            </w:r>
          </w:p>
        </w:tc>
        <w:tc>
          <w:tcPr>
            <w:tcW w:w="3387" w:type="dxa"/>
          </w:tcPr>
          <w:p w:rsidR="00592988" w:rsidRDefault="0011787E">
            <w:pPr>
              <w:pStyle w:val="TableParagraph"/>
              <w:ind w:left="1200"/>
              <w:rPr>
                <w:sz w:val="20"/>
              </w:rPr>
            </w:pPr>
            <w:r>
              <w:rPr>
                <w:sz w:val="20"/>
              </w:rPr>
              <w:t>22 November 2018</w:t>
            </w:r>
          </w:p>
        </w:tc>
      </w:tr>
      <w:tr w:rsidR="00592988">
        <w:trPr>
          <w:trHeight w:val="226"/>
        </w:trPr>
        <w:tc>
          <w:tcPr>
            <w:tcW w:w="4812" w:type="dxa"/>
          </w:tcPr>
          <w:p w:rsidR="00592988" w:rsidRDefault="0011787E">
            <w:pPr>
              <w:pStyle w:val="TableParagraph"/>
              <w:spacing w:line="206" w:lineRule="exact"/>
              <w:ind w:left="200"/>
              <w:rPr>
                <w:sz w:val="20"/>
              </w:rPr>
            </w:pPr>
            <w:r>
              <w:rPr>
                <w:sz w:val="20"/>
              </w:rPr>
              <w:t>3mE Education Day</w:t>
            </w:r>
          </w:p>
        </w:tc>
        <w:tc>
          <w:tcPr>
            <w:tcW w:w="3387" w:type="dxa"/>
          </w:tcPr>
          <w:p w:rsidR="00592988" w:rsidRDefault="0011787E">
            <w:pPr>
              <w:pStyle w:val="TableParagraph"/>
              <w:spacing w:line="206" w:lineRule="exact"/>
              <w:ind w:left="1200"/>
              <w:rPr>
                <w:sz w:val="20"/>
              </w:rPr>
            </w:pPr>
            <w:r>
              <w:rPr>
                <w:sz w:val="20"/>
              </w:rPr>
              <w:t>28 Augustus 2019</w:t>
            </w:r>
          </w:p>
        </w:tc>
      </w:tr>
    </w:tbl>
    <w:p w:rsidR="00592988" w:rsidRDefault="00592988">
      <w:pPr>
        <w:pStyle w:val="BodyText"/>
        <w:spacing w:before="10"/>
        <w:rPr>
          <w:b/>
          <w:sz w:val="34"/>
        </w:rPr>
      </w:pPr>
    </w:p>
    <w:p w:rsidR="00592988" w:rsidRDefault="0011787E">
      <w:pPr>
        <w:pStyle w:val="BodyText"/>
        <w:ind w:left="200"/>
      </w:pPr>
      <w:r>
        <w:t>Spring events will be announced in the beginning of the second Semester.</w:t>
      </w:r>
    </w:p>
    <w:p w:rsidR="00592988" w:rsidRDefault="0011787E">
      <w:pPr>
        <w:pStyle w:val="BodyText"/>
        <w:spacing w:before="10"/>
        <w:ind w:left="255"/>
      </w:pPr>
      <w:r>
        <w:rPr>
          <w:color w:val="A7A8A7"/>
        </w:rPr>
        <w:t xml:space="preserve">*BSc Clinical Technology has an additional Open Days </w:t>
      </w:r>
      <w:hyperlink r:id="rId9">
        <w:r>
          <w:rPr>
            <w:color w:val="A7A8A7"/>
            <w:u w:val="single" w:color="A7A8A7"/>
          </w:rPr>
          <w:t>calendar</w:t>
        </w:r>
        <w:r>
          <w:rPr>
            <w:color w:val="A7A8A7"/>
          </w:rPr>
          <w:t>.</w:t>
        </w:r>
      </w:hyperlink>
    </w:p>
    <w:p w:rsidR="00592988" w:rsidRDefault="00592988">
      <w:pPr>
        <w:pStyle w:val="BodyText"/>
      </w:pPr>
    </w:p>
    <w:p w:rsidR="00592988" w:rsidRDefault="00592988">
      <w:pPr>
        <w:pStyle w:val="BodyText"/>
        <w:spacing w:before="6"/>
        <w:rPr>
          <w:sz w:val="21"/>
        </w:rPr>
      </w:pPr>
    </w:p>
    <w:p w:rsidR="00592988" w:rsidRDefault="0011787E">
      <w:pPr>
        <w:pStyle w:val="Heading1"/>
        <w:spacing w:before="91"/>
      </w:pPr>
      <w:bookmarkStart w:id="5" w:name="New_incoming_students_2018-2019"/>
      <w:bookmarkStart w:id="6" w:name="_bookmark1"/>
      <w:bookmarkEnd w:id="5"/>
      <w:bookmarkEnd w:id="6"/>
      <w:r>
        <w:t>NEW INCOMING STUDENTS 2018-2019</w:t>
      </w:r>
    </w:p>
    <w:p w:rsidR="00592988" w:rsidRDefault="0011787E">
      <w:pPr>
        <w:pStyle w:val="Heading3"/>
        <w:spacing w:before="141"/>
      </w:pPr>
      <w:bookmarkStart w:id="7" w:name="Bachelor’s"/>
      <w:bookmarkEnd w:id="7"/>
      <w:r>
        <w:t>Bachelor’s</w:t>
      </w:r>
    </w:p>
    <w:tbl>
      <w:tblPr>
        <w:tblW w:w="0" w:type="auto"/>
        <w:tblInd w:w="207" w:type="dxa"/>
        <w:tblBorders>
          <w:top w:val="single" w:sz="12" w:space="0" w:color="9CC2E5"/>
          <w:left w:val="single" w:sz="12" w:space="0" w:color="9CC2E5"/>
          <w:bottom w:val="single" w:sz="12" w:space="0" w:color="9CC2E5"/>
          <w:right w:val="single" w:sz="12" w:space="0" w:color="9CC2E5"/>
          <w:insideH w:val="single" w:sz="12" w:space="0" w:color="9CC2E5"/>
          <w:insideV w:val="single" w:sz="12" w:space="0" w:color="9CC2E5"/>
        </w:tblBorders>
        <w:tblLayout w:type="fixed"/>
        <w:tblCellMar>
          <w:left w:w="0" w:type="dxa"/>
          <w:right w:w="0" w:type="dxa"/>
        </w:tblCellMar>
        <w:tblLook w:val="01E0" w:firstRow="1" w:lastRow="1" w:firstColumn="1" w:lastColumn="1" w:noHBand="0" w:noVBand="0"/>
      </w:tblPr>
      <w:tblGrid>
        <w:gridCol w:w="859"/>
        <w:gridCol w:w="1109"/>
        <w:gridCol w:w="1111"/>
        <w:gridCol w:w="1111"/>
        <w:gridCol w:w="1111"/>
        <w:gridCol w:w="1111"/>
        <w:gridCol w:w="1111"/>
        <w:gridCol w:w="1111"/>
        <w:gridCol w:w="1111"/>
      </w:tblGrid>
      <w:tr w:rsidR="00592988">
        <w:trPr>
          <w:trHeight w:val="227"/>
        </w:trPr>
        <w:tc>
          <w:tcPr>
            <w:tcW w:w="859" w:type="dxa"/>
            <w:tcBorders>
              <w:top w:val="nil"/>
              <w:left w:val="nil"/>
              <w:right w:val="nil"/>
            </w:tcBorders>
            <w:shd w:val="clear" w:color="auto" w:fill="1F4E79"/>
          </w:tcPr>
          <w:p w:rsidR="00592988" w:rsidRDefault="00592988">
            <w:pPr>
              <w:pStyle w:val="TableParagraph"/>
              <w:spacing w:line="240" w:lineRule="auto"/>
              <w:ind w:left="0"/>
              <w:rPr>
                <w:rFonts w:ascii="Times New Roman"/>
                <w:sz w:val="16"/>
              </w:rPr>
            </w:pPr>
          </w:p>
        </w:tc>
        <w:tc>
          <w:tcPr>
            <w:tcW w:w="1109" w:type="dxa"/>
            <w:tcBorders>
              <w:top w:val="nil"/>
              <w:left w:val="nil"/>
              <w:right w:val="nil"/>
            </w:tcBorders>
            <w:shd w:val="clear" w:color="auto" w:fill="1F4E79"/>
          </w:tcPr>
          <w:p w:rsidR="00592988" w:rsidRDefault="0011787E">
            <w:pPr>
              <w:pStyle w:val="TableParagraph"/>
              <w:spacing w:line="207" w:lineRule="exact"/>
              <w:rPr>
                <w:b/>
                <w:sz w:val="20"/>
              </w:rPr>
            </w:pPr>
            <w:r>
              <w:rPr>
                <w:b/>
                <w:color w:val="FFFFFF"/>
                <w:sz w:val="20"/>
              </w:rPr>
              <w:t>Wb</w:t>
            </w:r>
          </w:p>
        </w:tc>
        <w:tc>
          <w:tcPr>
            <w:tcW w:w="1111" w:type="dxa"/>
            <w:tcBorders>
              <w:top w:val="nil"/>
              <w:left w:val="nil"/>
              <w:right w:val="nil"/>
            </w:tcBorders>
            <w:shd w:val="clear" w:color="auto" w:fill="1F4E79"/>
          </w:tcPr>
          <w:p w:rsidR="00592988" w:rsidRDefault="00592988">
            <w:pPr>
              <w:pStyle w:val="TableParagraph"/>
              <w:spacing w:line="240" w:lineRule="auto"/>
              <w:ind w:left="0"/>
              <w:rPr>
                <w:rFonts w:ascii="Times New Roman"/>
                <w:sz w:val="16"/>
              </w:rPr>
            </w:pPr>
          </w:p>
        </w:tc>
        <w:tc>
          <w:tcPr>
            <w:tcW w:w="1111" w:type="dxa"/>
            <w:tcBorders>
              <w:top w:val="nil"/>
              <w:left w:val="nil"/>
              <w:right w:val="nil"/>
            </w:tcBorders>
            <w:shd w:val="clear" w:color="auto" w:fill="1F4E79"/>
          </w:tcPr>
          <w:p w:rsidR="00592988" w:rsidRDefault="0011787E">
            <w:pPr>
              <w:pStyle w:val="TableParagraph"/>
              <w:spacing w:line="207" w:lineRule="exact"/>
              <w:ind w:left="108"/>
              <w:rPr>
                <w:b/>
                <w:sz w:val="20"/>
              </w:rPr>
            </w:pPr>
            <w:r>
              <w:rPr>
                <w:b/>
                <w:color w:val="FFFFFF"/>
                <w:sz w:val="20"/>
              </w:rPr>
              <w:t>MT</w:t>
            </w:r>
          </w:p>
        </w:tc>
        <w:tc>
          <w:tcPr>
            <w:tcW w:w="1111" w:type="dxa"/>
            <w:tcBorders>
              <w:top w:val="nil"/>
              <w:left w:val="nil"/>
              <w:right w:val="nil"/>
            </w:tcBorders>
            <w:shd w:val="clear" w:color="auto" w:fill="1F4E79"/>
          </w:tcPr>
          <w:p w:rsidR="00592988" w:rsidRDefault="00592988">
            <w:pPr>
              <w:pStyle w:val="TableParagraph"/>
              <w:spacing w:line="240" w:lineRule="auto"/>
              <w:ind w:left="0"/>
              <w:rPr>
                <w:rFonts w:ascii="Times New Roman"/>
                <w:sz w:val="16"/>
              </w:rPr>
            </w:pPr>
          </w:p>
        </w:tc>
        <w:tc>
          <w:tcPr>
            <w:tcW w:w="1111" w:type="dxa"/>
            <w:tcBorders>
              <w:top w:val="nil"/>
              <w:left w:val="nil"/>
              <w:right w:val="nil"/>
            </w:tcBorders>
            <w:shd w:val="clear" w:color="auto" w:fill="1F4E79"/>
          </w:tcPr>
          <w:p w:rsidR="00592988" w:rsidRDefault="0011787E">
            <w:pPr>
              <w:pStyle w:val="TableParagraph"/>
              <w:spacing w:line="207" w:lineRule="exact"/>
              <w:ind w:left="108"/>
              <w:rPr>
                <w:b/>
                <w:sz w:val="20"/>
              </w:rPr>
            </w:pPr>
            <w:r>
              <w:rPr>
                <w:b/>
                <w:color w:val="FFFFFF"/>
                <w:sz w:val="20"/>
              </w:rPr>
              <w:t>KT</w:t>
            </w:r>
          </w:p>
        </w:tc>
        <w:tc>
          <w:tcPr>
            <w:tcW w:w="1111" w:type="dxa"/>
            <w:tcBorders>
              <w:top w:val="nil"/>
              <w:left w:val="nil"/>
              <w:right w:val="nil"/>
            </w:tcBorders>
            <w:shd w:val="clear" w:color="auto" w:fill="1F4E79"/>
          </w:tcPr>
          <w:p w:rsidR="00592988" w:rsidRDefault="00592988">
            <w:pPr>
              <w:pStyle w:val="TableParagraph"/>
              <w:spacing w:line="240" w:lineRule="auto"/>
              <w:ind w:left="0"/>
              <w:rPr>
                <w:rFonts w:ascii="Times New Roman"/>
                <w:sz w:val="16"/>
              </w:rPr>
            </w:pPr>
          </w:p>
        </w:tc>
        <w:tc>
          <w:tcPr>
            <w:tcW w:w="1111" w:type="dxa"/>
            <w:tcBorders>
              <w:top w:val="nil"/>
              <w:left w:val="nil"/>
              <w:right w:val="nil"/>
            </w:tcBorders>
            <w:shd w:val="clear" w:color="auto" w:fill="1F4E79"/>
          </w:tcPr>
          <w:p w:rsidR="00592988" w:rsidRDefault="0011787E">
            <w:pPr>
              <w:pStyle w:val="TableParagraph"/>
              <w:spacing w:line="207" w:lineRule="exact"/>
              <w:ind w:left="108"/>
              <w:rPr>
                <w:b/>
                <w:sz w:val="20"/>
              </w:rPr>
            </w:pPr>
            <w:r>
              <w:rPr>
                <w:b/>
                <w:color w:val="FFFFFF"/>
                <w:sz w:val="20"/>
              </w:rPr>
              <w:t>Total</w:t>
            </w:r>
          </w:p>
        </w:tc>
        <w:tc>
          <w:tcPr>
            <w:tcW w:w="1111" w:type="dxa"/>
            <w:tcBorders>
              <w:top w:val="nil"/>
              <w:left w:val="nil"/>
              <w:right w:val="nil"/>
            </w:tcBorders>
            <w:shd w:val="clear" w:color="auto" w:fill="1F4E79"/>
          </w:tcPr>
          <w:p w:rsidR="00592988" w:rsidRDefault="00592988">
            <w:pPr>
              <w:pStyle w:val="TableParagraph"/>
              <w:spacing w:line="240" w:lineRule="auto"/>
              <w:ind w:left="0"/>
              <w:rPr>
                <w:rFonts w:ascii="Times New Roman"/>
                <w:sz w:val="16"/>
              </w:rPr>
            </w:pPr>
          </w:p>
        </w:tc>
      </w:tr>
      <w:tr w:rsidR="00592988">
        <w:trPr>
          <w:trHeight w:val="584"/>
        </w:trPr>
        <w:tc>
          <w:tcPr>
            <w:tcW w:w="859" w:type="dxa"/>
            <w:tcBorders>
              <w:left w:val="nil"/>
              <w:bottom w:val="single" w:sz="2" w:space="0" w:color="9CC2E5"/>
              <w:right w:val="single" w:sz="2" w:space="0" w:color="9CC2E5"/>
            </w:tcBorders>
            <w:shd w:val="clear" w:color="auto" w:fill="DEEAF6"/>
          </w:tcPr>
          <w:p w:rsidR="00592988" w:rsidRDefault="0011787E">
            <w:pPr>
              <w:pStyle w:val="TableParagraph"/>
              <w:spacing w:line="240" w:lineRule="auto"/>
              <w:ind w:left="107"/>
              <w:rPr>
                <w:b/>
                <w:i/>
                <w:sz w:val="16"/>
              </w:rPr>
            </w:pPr>
            <w:r>
              <w:rPr>
                <w:b/>
                <w:i/>
                <w:color w:val="818181"/>
                <w:sz w:val="16"/>
              </w:rPr>
              <w:t>Year</w:t>
            </w:r>
          </w:p>
        </w:tc>
        <w:tc>
          <w:tcPr>
            <w:tcW w:w="1109" w:type="dxa"/>
            <w:tcBorders>
              <w:left w:val="single" w:sz="2" w:space="0" w:color="9CC2E5"/>
              <w:bottom w:val="single" w:sz="4" w:space="0" w:color="000000"/>
              <w:right w:val="single" w:sz="2" w:space="0" w:color="9CC2E5"/>
            </w:tcBorders>
            <w:shd w:val="clear" w:color="auto" w:fill="DEEAF6"/>
          </w:tcPr>
          <w:p w:rsidR="00592988" w:rsidRDefault="0011787E">
            <w:pPr>
              <w:pStyle w:val="TableParagraph"/>
              <w:spacing w:line="185" w:lineRule="exact"/>
              <w:rPr>
                <w:i/>
                <w:sz w:val="16"/>
              </w:rPr>
            </w:pPr>
            <w:r>
              <w:rPr>
                <w:i/>
                <w:color w:val="818181"/>
                <w:sz w:val="16"/>
              </w:rPr>
              <w:t>all 1</w:t>
            </w:r>
            <w:r>
              <w:rPr>
                <w:i/>
                <w:color w:val="818181"/>
                <w:position w:val="6"/>
                <w:sz w:val="10"/>
              </w:rPr>
              <w:t xml:space="preserve">st </w:t>
            </w:r>
            <w:r>
              <w:rPr>
                <w:i/>
                <w:color w:val="818181"/>
                <w:sz w:val="16"/>
              </w:rPr>
              <w:t>years</w:t>
            </w:r>
          </w:p>
        </w:tc>
        <w:tc>
          <w:tcPr>
            <w:tcW w:w="1111" w:type="dxa"/>
            <w:tcBorders>
              <w:left w:val="single" w:sz="2" w:space="0" w:color="9CC2E5"/>
              <w:bottom w:val="single" w:sz="4" w:space="0" w:color="000000"/>
              <w:right w:val="single" w:sz="2" w:space="0" w:color="9CC2E5"/>
            </w:tcBorders>
            <w:shd w:val="clear" w:color="auto" w:fill="DEEAF6"/>
          </w:tcPr>
          <w:p w:rsidR="00592988" w:rsidRDefault="0011787E">
            <w:pPr>
              <w:pStyle w:val="TableParagraph"/>
              <w:spacing w:before="5" w:line="232" w:lineRule="auto"/>
              <w:ind w:right="250"/>
              <w:rPr>
                <w:b/>
                <w:i/>
                <w:sz w:val="16"/>
              </w:rPr>
            </w:pPr>
            <w:r>
              <w:rPr>
                <w:b/>
                <w:i/>
                <w:color w:val="818181"/>
                <w:sz w:val="16"/>
              </w:rPr>
              <w:t>Of which 1</w:t>
            </w:r>
            <w:r>
              <w:rPr>
                <w:b/>
                <w:i/>
                <w:color w:val="818181"/>
                <w:position w:val="6"/>
                <w:sz w:val="10"/>
              </w:rPr>
              <w:t xml:space="preserve">st </w:t>
            </w:r>
            <w:r>
              <w:rPr>
                <w:b/>
                <w:i/>
                <w:color w:val="818181"/>
                <w:sz w:val="16"/>
              </w:rPr>
              <w:t>yr TUD</w:t>
            </w:r>
          </w:p>
        </w:tc>
        <w:tc>
          <w:tcPr>
            <w:tcW w:w="1111" w:type="dxa"/>
            <w:tcBorders>
              <w:left w:val="single" w:sz="2" w:space="0" w:color="9CC2E5"/>
              <w:bottom w:val="single" w:sz="4" w:space="0" w:color="000000"/>
              <w:right w:val="single" w:sz="2" w:space="0" w:color="9CC2E5"/>
            </w:tcBorders>
            <w:shd w:val="clear" w:color="auto" w:fill="DEEAF6"/>
          </w:tcPr>
          <w:p w:rsidR="00592988" w:rsidRDefault="0011787E">
            <w:pPr>
              <w:pStyle w:val="TableParagraph"/>
              <w:spacing w:line="185" w:lineRule="exact"/>
              <w:rPr>
                <w:i/>
                <w:sz w:val="16"/>
              </w:rPr>
            </w:pPr>
            <w:r>
              <w:rPr>
                <w:i/>
                <w:color w:val="818181"/>
                <w:sz w:val="16"/>
              </w:rPr>
              <w:t>all 1</w:t>
            </w:r>
            <w:r>
              <w:rPr>
                <w:i/>
                <w:color w:val="818181"/>
                <w:position w:val="6"/>
                <w:sz w:val="10"/>
              </w:rPr>
              <w:t xml:space="preserve">st </w:t>
            </w:r>
            <w:r>
              <w:rPr>
                <w:i/>
                <w:color w:val="818181"/>
                <w:sz w:val="16"/>
              </w:rPr>
              <w:t>years</w:t>
            </w:r>
          </w:p>
        </w:tc>
        <w:tc>
          <w:tcPr>
            <w:tcW w:w="1111" w:type="dxa"/>
            <w:tcBorders>
              <w:left w:val="single" w:sz="2" w:space="0" w:color="9CC2E5"/>
              <w:bottom w:val="single" w:sz="4" w:space="0" w:color="000000"/>
              <w:right w:val="single" w:sz="2" w:space="0" w:color="9CC2E5"/>
            </w:tcBorders>
            <w:shd w:val="clear" w:color="auto" w:fill="DEEAF6"/>
          </w:tcPr>
          <w:p w:rsidR="00592988" w:rsidRDefault="0011787E">
            <w:pPr>
              <w:pStyle w:val="TableParagraph"/>
              <w:spacing w:before="5" w:line="232" w:lineRule="auto"/>
              <w:ind w:right="250"/>
              <w:rPr>
                <w:b/>
                <w:i/>
                <w:sz w:val="16"/>
              </w:rPr>
            </w:pPr>
            <w:r>
              <w:rPr>
                <w:b/>
                <w:i/>
                <w:color w:val="818181"/>
                <w:sz w:val="16"/>
              </w:rPr>
              <w:t>Of which 1</w:t>
            </w:r>
            <w:r>
              <w:rPr>
                <w:b/>
                <w:i/>
                <w:color w:val="818181"/>
                <w:position w:val="6"/>
                <w:sz w:val="10"/>
              </w:rPr>
              <w:t xml:space="preserve">st </w:t>
            </w:r>
            <w:r>
              <w:rPr>
                <w:b/>
                <w:i/>
                <w:color w:val="818181"/>
                <w:sz w:val="16"/>
              </w:rPr>
              <w:t>yr TUD</w:t>
            </w:r>
          </w:p>
        </w:tc>
        <w:tc>
          <w:tcPr>
            <w:tcW w:w="1111" w:type="dxa"/>
            <w:tcBorders>
              <w:left w:val="single" w:sz="2" w:space="0" w:color="9CC2E5"/>
              <w:bottom w:val="single" w:sz="4" w:space="0" w:color="000000"/>
              <w:right w:val="single" w:sz="2" w:space="0" w:color="9CC2E5"/>
            </w:tcBorders>
            <w:shd w:val="clear" w:color="auto" w:fill="DEEAF6"/>
          </w:tcPr>
          <w:p w:rsidR="00592988" w:rsidRDefault="0011787E">
            <w:pPr>
              <w:pStyle w:val="TableParagraph"/>
              <w:spacing w:line="185" w:lineRule="exact"/>
              <w:ind w:left="106"/>
              <w:rPr>
                <w:i/>
                <w:sz w:val="16"/>
              </w:rPr>
            </w:pPr>
            <w:r>
              <w:rPr>
                <w:i/>
                <w:color w:val="818181"/>
                <w:sz w:val="16"/>
              </w:rPr>
              <w:t>all 1</w:t>
            </w:r>
            <w:r>
              <w:rPr>
                <w:i/>
                <w:color w:val="818181"/>
                <w:position w:val="6"/>
                <w:sz w:val="10"/>
              </w:rPr>
              <w:t xml:space="preserve">st </w:t>
            </w:r>
            <w:r>
              <w:rPr>
                <w:i/>
                <w:color w:val="818181"/>
                <w:sz w:val="16"/>
              </w:rPr>
              <w:t>years</w:t>
            </w:r>
          </w:p>
        </w:tc>
        <w:tc>
          <w:tcPr>
            <w:tcW w:w="1111" w:type="dxa"/>
            <w:tcBorders>
              <w:left w:val="single" w:sz="2" w:space="0" w:color="9CC2E5"/>
              <w:bottom w:val="single" w:sz="4" w:space="0" w:color="000000"/>
              <w:right w:val="single" w:sz="2" w:space="0" w:color="9CC2E5"/>
            </w:tcBorders>
            <w:shd w:val="clear" w:color="auto" w:fill="DEEAF6"/>
          </w:tcPr>
          <w:p w:rsidR="00592988" w:rsidRDefault="0011787E">
            <w:pPr>
              <w:pStyle w:val="TableParagraph"/>
              <w:spacing w:before="5" w:line="232" w:lineRule="auto"/>
              <w:ind w:left="106" w:right="249"/>
              <w:rPr>
                <w:b/>
                <w:i/>
                <w:sz w:val="16"/>
              </w:rPr>
            </w:pPr>
            <w:r>
              <w:rPr>
                <w:b/>
                <w:i/>
                <w:color w:val="818181"/>
                <w:sz w:val="16"/>
              </w:rPr>
              <w:t>Of which 1</w:t>
            </w:r>
            <w:r>
              <w:rPr>
                <w:b/>
                <w:i/>
                <w:color w:val="818181"/>
                <w:position w:val="6"/>
                <w:sz w:val="10"/>
              </w:rPr>
              <w:t xml:space="preserve">st </w:t>
            </w:r>
            <w:r>
              <w:rPr>
                <w:b/>
                <w:i/>
                <w:color w:val="818181"/>
                <w:sz w:val="16"/>
              </w:rPr>
              <w:t>yr TUD</w:t>
            </w:r>
          </w:p>
        </w:tc>
        <w:tc>
          <w:tcPr>
            <w:tcW w:w="1111" w:type="dxa"/>
            <w:tcBorders>
              <w:left w:val="single" w:sz="2" w:space="0" w:color="9CC2E5"/>
              <w:bottom w:val="single" w:sz="4" w:space="0" w:color="000000"/>
              <w:right w:val="single" w:sz="2" w:space="0" w:color="9CC2E5"/>
            </w:tcBorders>
            <w:shd w:val="clear" w:color="auto" w:fill="DEEAF6"/>
          </w:tcPr>
          <w:p w:rsidR="00592988" w:rsidRDefault="0011787E">
            <w:pPr>
              <w:pStyle w:val="TableParagraph"/>
              <w:spacing w:line="185" w:lineRule="exact"/>
              <w:ind w:left="106"/>
              <w:rPr>
                <w:i/>
                <w:sz w:val="16"/>
              </w:rPr>
            </w:pPr>
            <w:r>
              <w:rPr>
                <w:i/>
                <w:color w:val="818181"/>
                <w:sz w:val="16"/>
              </w:rPr>
              <w:t>all 1</w:t>
            </w:r>
            <w:r>
              <w:rPr>
                <w:i/>
                <w:color w:val="818181"/>
                <w:position w:val="6"/>
                <w:sz w:val="10"/>
              </w:rPr>
              <w:t xml:space="preserve">st </w:t>
            </w:r>
            <w:r>
              <w:rPr>
                <w:i/>
                <w:color w:val="818181"/>
                <w:sz w:val="16"/>
              </w:rPr>
              <w:t>years</w:t>
            </w:r>
          </w:p>
        </w:tc>
        <w:tc>
          <w:tcPr>
            <w:tcW w:w="1111" w:type="dxa"/>
            <w:tcBorders>
              <w:left w:val="single" w:sz="2" w:space="0" w:color="9CC2E5"/>
              <w:bottom w:val="single" w:sz="4" w:space="0" w:color="000000"/>
              <w:right w:val="nil"/>
            </w:tcBorders>
            <w:shd w:val="clear" w:color="auto" w:fill="DEEAF6"/>
          </w:tcPr>
          <w:p w:rsidR="00592988" w:rsidRDefault="0011787E">
            <w:pPr>
              <w:pStyle w:val="TableParagraph"/>
              <w:spacing w:before="5" w:line="232" w:lineRule="auto"/>
              <w:ind w:left="106" w:right="252"/>
              <w:rPr>
                <w:b/>
                <w:i/>
                <w:sz w:val="16"/>
              </w:rPr>
            </w:pPr>
            <w:r>
              <w:rPr>
                <w:b/>
                <w:i/>
                <w:color w:val="818181"/>
                <w:sz w:val="16"/>
              </w:rPr>
              <w:t>Of which 1</w:t>
            </w:r>
            <w:r>
              <w:rPr>
                <w:b/>
                <w:i/>
                <w:color w:val="818181"/>
                <w:position w:val="6"/>
                <w:sz w:val="10"/>
              </w:rPr>
              <w:t xml:space="preserve">st </w:t>
            </w:r>
            <w:r>
              <w:rPr>
                <w:b/>
                <w:i/>
                <w:color w:val="818181"/>
                <w:sz w:val="16"/>
              </w:rPr>
              <w:t>yr TUD</w:t>
            </w:r>
          </w:p>
        </w:tc>
      </w:tr>
      <w:tr w:rsidR="00592988">
        <w:trPr>
          <w:trHeight w:val="230"/>
        </w:trPr>
        <w:tc>
          <w:tcPr>
            <w:tcW w:w="859" w:type="dxa"/>
            <w:tcBorders>
              <w:top w:val="single" w:sz="2" w:space="0" w:color="9CC2E5"/>
              <w:left w:val="nil"/>
              <w:bottom w:val="single" w:sz="2" w:space="0" w:color="9CC2E5"/>
              <w:right w:val="single" w:sz="4" w:space="0" w:color="000000"/>
            </w:tcBorders>
          </w:tcPr>
          <w:p w:rsidR="00592988" w:rsidRDefault="0011787E">
            <w:pPr>
              <w:pStyle w:val="TableParagraph"/>
              <w:ind w:left="107"/>
              <w:rPr>
                <w:i/>
                <w:sz w:val="20"/>
              </w:rPr>
            </w:pPr>
            <w:r>
              <w:rPr>
                <w:i/>
                <w:sz w:val="20"/>
              </w:rPr>
              <w:t>2014</w:t>
            </w:r>
          </w:p>
        </w:tc>
        <w:tc>
          <w:tcPr>
            <w:tcW w:w="1109" w:type="dxa"/>
            <w:tcBorders>
              <w:top w:val="single" w:sz="4" w:space="0" w:color="000000"/>
              <w:left w:val="single" w:sz="4" w:space="0" w:color="000000"/>
              <w:bottom w:val="single" w:sz="2" w:space="0" w:color="9CC2E5"/>
              <w:right w:val="single" w:sz="2" w:space="0" w:color="9CC2E5"/>
            </w:tcBorders>
          </w:tcPr>
          <w:p w:rsidR="00592988" w:rsidRDefault="0011787E">
            <w:pPr>
              <w:pStyle w:val="TableParagraph"/>
              <w:ind w:left="100"/>
              <w:rPr>
                <w:sz w:val="20"/>
              </w:rPr>
            </w:pPr>
            <w:r>
              <w:rPr>
                <w:sz w:val="20"/>
              </w:rPr>
              <w:t>581</w:t>
            </w:r>
          </w:p>
        </w:tc>
        <w:tc>
          <w:tcPr>
            <w:tcW w:w="1111" w:type="dxa"/>
            <w:tcBorders>
              <w:top w:val="single" w:sz="4" w:space="0" w:color="000000"/>
              <w:left w:val="single" w:sz="2" w:space="0" w:color="9CC2E5"/>
              <w:bottom w:val="single" w:sz="2" w:space="0" w:color="9CC2E5"/>
              <w:right w:val="single" w:sz="4" w:space="0" w:color="000000"/>
            </w:tcBorders>
          </w:tcPr>
          <w:p w:rsidR="00592988" w:rsidRDefault="0011787E">
            <w:pPr>
              <w:pStyle w:val="TableParagraph"/>
              <w:rPr>
                <w:sz w:val="20"/>
              </w:rPr>
            </w:pPr>
            <w:r>
              <w:rPr>
                <w:sz w:val="20"/>
              </w:rPr>
              <w:t>522</w:t>
            </w:r>
          </w:p>
        </w:tc>
        <w:tc>
          <w:tcPr>
            <w:tcW w:w="1111" w:type="dxa"/>
            <w:tcBorders>
              <w:top w:val="single" w:sz="4" w:space="0" w:color="000000"/>
              <w:left w:val="single" w:sz="4" w:space="0" w:color="000000"/>
              <w:bottom w:val="single" w:sz="2" w:space="0" w:color="9CC2E5"/>
              <w:right w:val="single" w:sz="2" w:space="0" w:color="9CC2E5"/>
            </w:tcBorders>
          </w:tcPr>
          <w:p w:rsidR="00592988" w:rsidRDefault="0011787E">
            <w:pPr>
              <w:pStyle w:val="TableParagraph"/>
              <w:ind w:left="103"/>
              <w:rPr>
                <w:sz w:val="20"/>
              </w:rPr>
            </w:pPr>
            <w:r>
              <w:rPr>
                <w:sz w:val="20"/>
              </w:rPr>
              <w:t>207</w:t>
            </w:r>
          </w:p>
        </w:tc>
        <w:tc>
          <w:tcPr>
            <w:tcW w:w="1111" w:type="dxa"/>
            <w:tcBorders>
              <w:top w:val="single" w:sz="4" w:space="0" w:color="000000"/>
              <w:left w:val="single" w:sz="2" w:space="0" w:color="9CC2E5"/>
              <w:bottom w:val="single" w:sz="2" w:space="0" w:color="9CC2E5"/>
              <w:right w:val="single" w:sz="4" w:space="0" w:color="000000"/>
            </w:tcBorders>
          </w:tcPr>
          <w:p w:rsidR="00592988" w:rsidRDefault="0011787E">
            <w:pPr>
              <w:pStyle w:val="TableParagraph"/>
              <w:rPr>
                <w:sz w:val="20"/>
              </w:rPr>
            </w:pPr>
            <w:r>
              <w:rPr>
                <w:sz w:val="20"/>
              </w:rPr>
              <w:t>187</w:t>
            </w:r>
          </w:p>
        </w:tc>
        <w:tc>
          <w:tcPr>
            <w:tcW w:w="1111" w:type="dxa"/>
            <w:tcBorders>
              <w:top w:val="single" w:sz="4" w:space="0" w:color="000000"/>
              <w:left w:val="single" w:sz="4" w:space="0" w:color="000000"/>
              <w:bottom w:val="single" w:sz="2" w:space="0" w:color="9CC2E5"/>
              <w:right w:val="single" w:sz="2" w:space="0" w:color="9CC2E5"/>
            </w:tcBorders>
          </w:tcPr>
          <w:p w:rsidR="00592988" w:rsidRDefault="0011787E">
            <w:pPr>
              <w:pStyle w:val="TableParagraph"/>
              <w:ind w:left="103"/>
              <w:rPr>
                <w:sz w:val="20"/>
              </w:rPr>
            </w:pPr>
            <w:r>
              <w:rPr>
                <w:sz w:val="20"/>
              </w:rPr>
              <w:t>101</w:t>
            </w:r>
          </w:p>
        </w:tc>
        <w:tc>
          <w:tcPr>
            <w:tcW w:w="1111" w:type="dxa"/>
            <w:tcBorders>
              <w:top w:val="single" w:sz="4" w:space="0" w:color="000000"/>
              <w:left w:val="single" w:sz="2" w:space="0" w:color="9CC2E5"/>
              <w:bottom w:val="single" w:sz="2" w:space="0" w:color="9CC2E5"/>
              <w:right w:val="single" w:sz="4" w:space="0" w:color="000000"/>
            </w:tcBorders>
          </w:tcPr>
          <w:p w:rsidR="00592988" w:rsidRDefault="0011787E">
            <w:pPr>
              <w:pStyle w:val="TableParagraph"/>
              <w:ind w:left="106"/>
              <w:rPr>
                <w:sz w:val="20"/>
              </w:rPr>
            </w:pPr>
            <w:r>
              <w:rPr>
                <w:sz w:val="20"/>
              </w:rPr>
              <w:t>101</w:t>
            </w:r>
          </w:p>
        </w:tc>
        <w:tc>
          <w:tcPr>
            <w:tcW w:w="1111" w:type="dxa"/>
            <w:tcBorders>
              <w:top w:val="single" w:sz="4" w:space="0" w:color="000000"/>
              <w:left w:val="single" w:sz="4" w:space="0" w:color="000000"/>
              <w:bottom w:val="single" w:sz="2" w:space="0" w:color="9CC2E5"/>
              <w:right w:val="single" w:sz="2" w:space="0" w:color="9CC2E5"/>
            </w:tcBorders>
          </w:tcPr>
          <w:p w:rsidR="00592988" w:rsidRDefault="0011787E">
            <w:pPr>
              <w:pStyle w:val="TableParagraph"/>
              <w:ind w:left="103"/>
              <w:rPr>
                <w:sz w:val="20"/>
              </w:rPr>
            </w:pPr>
            <w:r>
              <w:rPr>
                <w:sz w:val="20"/>
              </w:rPr>
              <w:t>889</w:t>
            </w:r>
          </w:p>
        </w:tc>
        <w:tc>
          <w:tcPr>
            <w:tcW w:w="1111" w:type="dxa"/>
            <w:tcBorders>
              <w:top w:val="single" w:sz="4" w:space="0" w:color="000000"/>
              <w:left w:val="single" w:sz="2" w:space="0" w:color="9CC2E5"/>
              <w:bottom w:val="single" w:sz="2" w:space="0" w:color="9CC2E5"/>
              <w:right w:val="single" w:sz="4" w:space="0" w:color="000000"/>
            </w:tcBorders>
          </w:tcPr>
          <w:p w:rsidR="00592988" w:rsidRDefault="0011787E">
            <w:pPr>
              <w:pStyle w:val="TableParagraph"/>
              <w:ind w:left="106"/>
              <w:rPr>
                <w:sz w:val="20"/>
              </w:rPr>
            </w:pPr>
            <w:r>
              <w:rPr>
                <w:sz w:val="20"/>
              </w:rPr>
              <w:t>810</w:t>
            </w:r>
          </w:p>
        </w:tc>
      </w:tr>
      <w:tr w:rsidR="00592988">
        <w:trPr>
          <w:trHeight w:val="230"/>
        </w:trPr>
        <w:tc>
          <w:tcPr>
            <w:tcW w:w="859" w:type="dxa"/>
            <w:tcBorders>
              <w:top w:val="single" w:sz="2" w:space="0" w:color="9CC2E5"/>
              <w:left w:val="nil"/>
              <w:bottom w:val="single" w:sz="2" w:space="0" w:color="9CC2E5"/>
              <w:right w:val="single" w:sz="4" w:space="0" w:color="000000"/>
            </w:tcBorders>
            <w:shd w:val="clear" w:color="auto" w:fill="DEEAF6"/>
          </w:tcPr>
          <w:p w:rsidR="00592988" w:rsidRDefault="0011787E">
            <w:pPr>
              <w:pStyle w:val="TableParagraph"/>
              <w:ind w:left="107"/>
              <w:rPr>
                <w:i/>
                <w:sz w:val="20"/>
              </w:rPr>
            </w:pPr>
            <w:r>
              <w:rPr>
                <w:i/>
                <w:sz w:val="20"/>
              </w:rPr>
              <w:t>2015</w:t>
            </w:r>
          </w:p>
        </w:tc>
        <w:tc>
          <w:tcPr>
            <w:tcW w:w="1109" w:type="dxa"/>
            <w:tcBorders>
              <w:top w:val="single" w:sz="2" w:space="0" w:color="9CC2E5"/>
              <w:left w:val="single" w:sz="4" w:space="0" w:color="000000"/>
              <w:bottom w:val="single" w:sz="2" w:space="0" w:color="9CC2E5"/>
              <w:right w:val="single" w:sz="2" w:space="0" w:color="9CC2E5"/>
            </w:tcBorders>
            <w:shd w:val="clear" w:color="auto" w:fill="DEEAF6"/>
          </w:tcPr>
          <w:p w:rsidR="00592988" w:rsidRDefault="0011787E">
            <w:pPr>
              <w:pStyle w:val="TableParagraph"/>
              <w:ind w:left="100"/>
              <w:rPr>
                <w:sz w:val="20"/>
              </w:rPr>
            </w:pPr>
            <w:r>
              <w:rPr>
                <w:sz w:val="20"/>
              </w:rPr>
              <w:t>739</w:t>
            </w:r>
          </w:p>
        </w:tc>
        <w:tc>
          <w:tcPr>
            <w:tcW w:w="1111" w:type="dxa"/>
            <w:tcBorders>
              <w:top w:val="single" w:sz="2" w:space="0" w:color="9CC2E5"/>
              <w:left w:val="single" w:sz="2" w:space="0" w:color="9CC2E5"/>
              <w:bottom w:val="single" w:sz="2" w:space="0" w:color="9CC2E5"/>
              <w:right w:val="single" w:sz="4" w:space="0" w:color="000000"/>
            </w:tcBorders>
            <w:shd w:val="clear" w:color="auto" w:fill="DEEAF6"/>
          </w:tcPr>
          <w:p w:rsidR="00592988" w:rsidRDefault="0011787E">
            <w:pPr>
              <w:pStyle w:val="TableParagraph"/>
              <w:rPr>
                <w:sz w:val="20"/>
              </w:rPr>
            </w:pPr>
            <w:r>
              <w:rPr>
                <w:sz w:val="20"/>
              </w:rPr>
              <w:t>681</w:t>
            </w:r>
          </w:p>
        </w:tc>
        <w:tc>
          <w:tcPr>
            <w:tcW w:w="1111" w:type="dxa"/>
            <w:tcBorders>
              <w:top w:val="single" w:sz="2" w:space="0" w:color="9CC2E5"/>
              <w:left w:val="single" w:sz="4" w:space="0" w:color="000000"/>
              <w:bottom w:val="single" w:sz="2" w:space="0" w:color="9CC2E5"/>
              <w:right w:val="single" w:sz="2" w:space="0" w:color="9CC2E5"/>
            </w:tcBorders>
            <w:shd w:val="clear" w:color="auto" w:fill="DEEAF6"/>
          </w:tcPr>
          <w:p w:rsidR="00592988" w:rsidRDefault="0011787E">
            <w:pPr>
              <w:pStyle w:val="TableParagraph"/>
              <w:ind w:left="103"/>
              <w:rPr>
                <w:sz w:val="20"/>
              </w:rPr>
            </w:pPr>
            <w:r>
              <w:rPr>
                <w:sz w:val="20"/>
              </w:rPr>
              <w:t>168</w:t>
            </w:r>
          </w:p>
        </w:tc>
        <w:tc>
          <w:tcPr>
            <w:tcW w:w="1111" w:type="dxa"/>
            <w:tcBorders>
              <w:top w:val="single" w:sz="2" w:space="0" w:color="9CC2E5"/>
              <w:left w:val="single" w:sz="2" w:space="0" w:color="9CC2E5"/>
              <w:bottom w:val="single" w:sz="2" w:space="0" w:color="9CC2E5"/>
              <w:right w:val="single" w:sz="4" w:space="0" w:color="000000"/>
            </w:tcBorders>
            <w:shd w:val="clear" w:color="auto" w:fill="DEEAF6"/>
          </w:tcPr>
          <w:p w:rsidR="00592988" w:rsidRDefault="0011787E">
            <w:pPr>
              <w:pStyle w:val="TableParagraph"/>
              <w:rPr>
                <w:sz w:val="20"/>
              </w:rPr>
            </w:pPr>
            <w:r>
              <w:rPr>
                <w:sz w:val="20"/>
              </w:rPr>
              <w:t>149</w:t>
            </w:r>
          </w:p>
        </w:tc>
        <w:tc>
          <w:tcPr>
            <w:tcW w:w="1111" w:type="dxa"/>
            <w:tcBorders>
              <w:top w:val="single" w:sz="2" w:space="0" w:color="9CC2E5"/>
              <w:left w:val="single" w:sz="4" w:space="0" w:color="000000"/>
              <w:bottom w:val="single" w:sz="2" w:space="0" w:color="9CC2E5"/>
              <w:right w:val="single" w:sz="2" w:space="0" w:color="9CC2E5"/>
            </w:tcBorders>
            <w:shd w:val="clear" w:color="auto" w:fill="DEEAF6"/>
          </w:tcPr>
          <w:p w:rsidR="00592988" w:rsidRDefault="0011787E">
            <w:pPr>
              <w:pStyle w:val="TableParagraph"/>
              <w:ind w:left="103"/>
              <w:rPr>
                <w:sz w:val="20"/>
              </w:rPr>
            </w:pPr>
            <w:r>
              <w:rPr>
                <w:sz w:val="20"/>
              </w:rPr>
              <w:t>106</w:t>
            </w:r>
          </w:p>
        </w:tc>
        <w:tc>
          <w:tcPr>
            <w:tcW w:w="1111" w:type="dxa"/>
            <w:tcBorders>
              <w:top w:val="single" w:sz="2" w:space="0" w:color="9CC2E5"/>
              <w:left w:val="single" w:sz="2" w:space="0" w:color="9CC2E5"/>
              <w:bottom w:val="single" w:sz="2" w:space="0" w:color="9CC2E5"/>
              <w:right w:val="single" w:sz="4" w:space="0" w:color="000000"/>
            </w:tcBorders>
            <w:shd w:val="clear" w:color="auto" w:fill="DEEAF6"/>
          </w:tcPr>
          <w:p w:rsidR="00592988" w:rsidRDefault="0011787E">
            <w:pPr>
              <w:pStyle w:val="TableParagraph"/>
              <w:ind w:left="106"/>
              <w:rPr>
                <w:sz w:val="20"/>
              </w:rPr>
            </w:pPr>
            <w:r>
              <w:rPr>
                <w:sz w:val="20"/>
              </w:rPr>
              <w:t>99</w:t>
            </w:r>
          </w:p>
        </w:tc>
        <w:tc>
          <w:tcPr>
            <w:tcW w:w="1111" w:type="dxa"/>
            <w:tcBorders>
              <w:top w:val="single" w:sz="2" w:space="0" w:color="9CC2E5"/>
              <w:left w:val="single" w:sz="4" w:space="0" w:color="000000"/>
              <w:bottom w:val="single" w:sz="2" w:space="0" w:color="9CC2E5"/>
              <w:right w:val="single" w:sz="2" w:space="0" w:color="9CC2E5"/>
            </w:tcBorders>
            <w:shd w:val="clear" w:color="auto" w:fill="DEEAF6"/>
          </w:tcPr>
          <w:p w:rsidR="00592988" w:rsidRDefault="0011787E">
            <w:pPr>
              <w:pStyle w:val="TableParagraph"/>
              <w:ind w:left="103"/>
              <w:rPr>
                <w:sz w:val="20"/>
              </w:rPr>
            </w:pPr>
            <w:r>
              <w:rPr>
                <w:sz w:val="20"/>
              </w:rPr>
              <w:t>1013</w:t>
            </w:r>
          </w:p>
        </w:tc>
        <w:tc>
          <w:tcPr>
            <w:tcW w:w="1111" w:type="dxa"/>
            <w:tcBorders>
              <w:top w:val="single" w:sz="2" w:space="0" w:color="9CC2E5"/>
              <w:left w:val="single" w:sz="2" w:space="0" w:color="9CC2E5"/>
              <w:bottom w:val="single" w:sz="2" w:space="0" w:color="9CC2E5"/>
              <w:right w:val="single" w:sz="4" w:space="0" w:color="000000"/>
            </w:tcBorders>
            <w:shd w:val="clear" w:color="auto" w:fill="DEEAF6"/>
          </w:tcPr>
          <w:p w:rsidR="00592988" w:rsidRDefault="0011787E">
            <w:pPr>
              <w:pStyle w:val="TableParagraph"/>
              <w:ind w:left="106"/>
              <w:rPr>
                <w:sz w:val="20"/>
              </w:rPr>
            </w:pPr>
            <w:r>
              <w:rPr>
                <w:sz w:val="20"/>
              </w:rPr>
              <w:t>929</w:t>
            </w:r>
          </w:p>
        </w:tc>
      </w:tr>
      <w:tr w:rsidR="00592988">
        <w:trPr>
          <w:trHeight w:val="230"/>
        </w:trPr>
        <w:tc>
          <w:tcPr>
            <w:tcW w:w="859" w:type="dxa"/>
            <w:tcBorders>
              <w:top w:val="single" w:sz="2" w:space="0" w:color="9CC2E5"/>
              <w:left w:val="nil"/>
              <w:bottom w:val="single" w:sz="2" w:space="0" w:color="9CC2E5"/>
              <w:right w:val="single" w:sz="4" w:space="0" w:color="000000"/>
            </w:tcBorders>
          </w:tcPr>
          <w:p w:rsidR="00592988" w:rsidRDefault="0011787E">
            <w:pPr>
              <w:pStyle w:val="TableParagraph"/>
              <w:ind w:left="107"/>
              <w:rPr>
                <w:i/>
                <w:sz w:val="20"/>
              </w:rPr>
            </w:pPr>
            <w:r>
              <w:rPr>
                <w:i/>
                <w:sz w:val="20"/>
              </w:rPr>
              <w:t>2016</w:t>
            </w:r>
          </w:p>
        </w:tc>
        <w:tc>
          <w:tcPr>
            <w:tcW w:w="1109" w:type="dxa"/>
            <w:tcBorders>
              <w:top w:val="single" w:sz="2" w:space="0" w:color="9CC2E5"/>
              <w:left w:val="single" w:sz="4" w:space="0" w:color="000000"/>
              <w:bottom w:val="single" w:sz="2" w:space="0" w:color="9CC2E5"/>
              <w:right w:val="single" w:sz="2" w:space="0" w:color="9CC2E5"/>
            </w:tcBorders>
          </w:tcPr>
          <w:p w:rsidR="00592988" w:rsidRDefault="0011787E">
            <w:pPr>
              <w:pStyle w:val="TableParagraph"/>
              <w:ind w:left="100"/>
              <w:rPr>
                <w:sz w:val="20"/>
              </w:rPr>
            </w:pPr>
            <w:r>
              <w:rPr>
                <w:sz w:val="20"/>
              </w:rPr>
              <w:t>742</w:t>
            </w:r>
          </w:p>
        </w:tc>
        <w:tc>
          <w:tcPr>
            <w:tcW w:w="1111" w:type="dxa"/>
            <w:tcBorders>
              <w:top w:val="single" w:sz="2" w:space="0" w:color="9CC2E5"/>
              <w:left w:val="single" w:sz="2" w:space="0" w:color="9CC2E5"/>
              <w:bottom w:val="single" w:sz="2" w:space="0" w:color="9CC2E5"/>
              <w:right w:val="single" w:sz="4" w:space="0" w:color="000000"/>
            </w:tcBorders>
          </w:tcPr>
          <w:p w:rsidR="00592988" w:rsidRDefault="0011787E">
            <w:pPr>
              <w:pStyle w:val="TableParagraph"/>
              <w:rPr>
                <w:sz w:val="20"/>
              </w:rPr>
            </w:pPr>
            <w:r>
              <w:rPr>
                <w:sz w:val="20"/>
              </w:rPr>
              <w:t>683</w:t>
            </w:r>
          </w:p>
        </w:tc>
        <w:tc>
          <w:tcPr>
            <w:tcW w:w="1111" w:type="dxa"/>
            <w:tcBorders>
              <w:top w:val="single" w:sz="2" w:space="0" w:color="9CC2E5"/>
              <w:left w:val="single" w:sz="4" w:space="0" w:color="000000"/>
              <w:bottom w:val="single" w:sz="2" w:space="0" w:color="9CC2E5"/>
              <w:right w:val="single" w:sz="2" w:space="0" w:color="9CC2E5"/>
            </w:tcBorders>
          </w:tcPr>
          <w:p w:rsidR="00592988" w:rsidRDefault="0011787E">
            <w:pPr>
              <w:pStyle w:val="TableParagraph"/>
              <w:ind w:left="103"/>
              <w:rPr>
                <w:sz w:val="20"/>
              </w:rPr>
            </w:pPr>
            <w:r>
              <w:rPr>
                <w:sz w:val="20"/>
              </w:rPr>
              <w:t>117</w:t>
            </w:r>
          </w:p>
        </w:tc>
        <w:tc>
          <w:tcPr>
            <w:tcW w:w="1111" w:type="dxa"/>
            <w:tcBorders>
              <w:top w:val="single" w:sz="2" w:space="0" w:color="9CC2E5"/>
              <w:left w:val="single" w:sz="2" w:space="0" w:color="9CC2E5"/>
              <w:bottom w:val="single" w:sz="2" w:space="0" w:color="9CC2E5"/>
              <w:right w:val="single" w:sz="4" w:space="0" w:color="000000"/>
            </w:tcBorders>
          </w:tcPr>
          <w:p w:rsidR="00592988" w:rsidRDefault="0011787E">
            <w:pPr>
              <w:pStyle w:val="TableParagraph"/>
              <w:rPr>
                <w:sz w:val="20"/>
              </w:rPr>
            </w:pPr>
            <w:r>
              <w:rPr>
                <w:sz w:val="20"/>
              </w:rPr>
              <w:t>105</w:t>
            </w:r>
          </w:p>
        </w:tc>
        <w:tc>
          <w:tcPr>
            <w:tcW w:w="1111" w:type="dxa"/>
            <w:tcBorders>
              <w:top w:val="single" w:sz="2" w:space="0" w:color="9CC2E5"/>
              <w:left w:val="single" w:sz="4" w:space="0" w:color="000000"/>
              <w:bottom w:val="single" w:sz="2" w:space="0" w:color="9CC2E5"/>
              <w:right w:val="single" w:sz="2" w:space="0" w:color="9CC2E5"/>
            </w:tcBorders>
          </w:tcPr>
          <w:p w:rsidR="00592988" w:rsidRDefault="0011787E">
            <w:pPr>
              <w:pStyle w:val="TableParagraph"/>
              <w:ind w:left="103"/>
              <w:rPr>
                <w:sz w:val="20"/>
              </w:rPr>
            </w:pPr>
            <w:r>
              <w:rPr>
                <w:sz w:val="20"/>
              </w:rPr>
              <w:t>104</w:t>
            </w:r>
          </w:p>
        </w:tc>
        <w:tc>
          <w:tcPr>
            <w:tcW w:w="1111" w:type="dxa"/>
            <w:tcBorders>
              <w:top w:val="single" w:sz="2" w:space="0" w:color="9CC2E5"/>
              <w:left w:val="single" w:sz="2" w:space="0" w:color="9CC2E5"/>
              <w:bottom w:val="single" w:sz="2" w:space="0" w:color="9CC2E5"/>
              <w:right w:val="single" w:sz="4" w:space="0" w:color="000000"/>
            </w:tcBorders>
          </w:tcPr>
          <w:p w:rsidR="00592988" w:rsidRDefault="0011787E">
            <w:pPr>
              <w:pStyle w:val="TableParagraph"/>
              <w:ind w:left="106"/>
              <w:rPr>
                <w:sz w:val="20"/>
              </w:rPr>
            </w:pPr>
            <w:r>
              <w:rPr>
                <w:sz w:val="20"/>
              </w:rPr>
              <w:t>100</w:t>
            </w:r>
          </w:p>
        </w:tc>
        <w:tc>
          <w:tcPr>
            <w:tcW w:w="1111" w:type="dxa"/>
            <w:tcBorders>
              <w:top w:val="single" w:sz="2" w:space="0" w:color="9CC2E5"/>
              <w:left w:val="single" w:sz="4" w:space="0" w:color="000000"/>
              <w:bottom w:val="single" w:sz="2" w:space="0" w:color="9CC2E5"/>
              <w:right w:val="single" w:sz="2" w:space="0" w:color="9CC2E5"/>
            </w:tcBorders>
          </w:tcPr>
          <w:p w:rsidR="00592988" w:rsidRDefault="0011787E">
            <w:pPr>
              <w:pStyle w:val="TableParagraph"/>
              <w:ind w:left="103"/>
              <w:rPr>
                <w:sz w:val="20"/>
              </w:rPr>
            </w:pPr>
            <w:r>
              <w:rPr>
                <w:sz w:val="20"/>
              </w:rPr>
              <w:t>963</w:t>
            </w:r>
          </w:p>
        </w:tc>
        <w:tc>
          <w:tcPr>
            <w:tcW w:w="1111" w:type="dxa"/>
            <w:tcBorders>
              <w:top w:val="single" w:sz="2" w:space="0" w:color="9CC2E5"/>
              <w:left w:val="single" w:sz="2" w:space="0" w:color="9CC2E5"/>
              <w:bottom w:val="single" w:sz="2" w:space="0" w:color="9CC2E5"/>
              <w:right w:val="single" w:sz="4" w:space="0" w:color="000000"/>
            </w:tcBorders>
          </w:tcPr>
          <w:p w:rsidR="00592988" w:rsidRDefault="0011787E">
            <w:pPr>
              <w:pStyle w:val="TableParagraph"/>
              <w:ind w:left="106"/>
              <w:rPr>
                <w:sz w:val="20"/>
              </w:rPr>
            </w:pPr>
            <w:r>
              <w:rPr>
                <w:sz w:val="20"/>
              </w:rPr>
              <w:t>888</w:t>
            </w:r>
          </w:p>
        </w:tc>
      </w:tr>
      <w:tr w:rsidR="00592988">
        <w:trPr>
          <w:trHeight w:val="230"/>
        </w:trPr>
        <w:tc>
          <w:tcPr>
            <w:tcW w:w="859" w:type="dxa"/>
            <w:tcBorders>
              <w:top w:val="single" w:sz="2" w:space="0" w:color="9CC2E5"/>
              <w:left w:val="nil"/>
              <w:bottom w:val="single" w:sz="2" w:space="0" w:color="9CC2E5"/>
              <w:right w:val="single" w:sz="4" w:space="0" w:color="000000"/>
            </w:tcBorders>
            <w:shd w:val="clear" w:color="auto" w:fill="DEEAF6"/>
          </w:tcPr>
          <w:p w:rsidR="00592988" w:rsidRDefault="0011787E">
            <w:pPr>
              <w:pStyle w:val="TableParagraph"/>
              <w:ind w:left="107"/>
              <w:rPr>
                <w:i/>
                <w:sz w:val="20"/>
              </w:rPr>
            </w:pPr>
            <w:r>
              <w:rPr>
                <w:i/>
                <w:sz w:val="20"/>
              </w:rPr>
              <w:t>2017</w:t>
            </w:r>
          </w:p>
        </w:tc>
        <w:tc>
          <w:tcPr>
            <w:tcW w:w="1109" w:type="dxa"/>
            <w:tcBorders>
              <w:top w:val="single" w:sz="2" w:space="0" w:color="9CC2E5"/>
              <w:left w:val="single" w:sz="4" w:space="0" w:color="000000"/>
              <w:bottom w:val="single" w:sz="2" w:space="0" w:color="9CC2E5"/>
              <w:right w:val="single" w:sz="2" w:space="0" w:color="9CC2E5"/>
            </w:tcBorders>
            <w:shd w:val="clear" w:color="auto" w:fill="DEEAF6"/>
          </w:tcPr>
          <w:p w:rsidR="00592988" w:rsidRDefault="0011787E">
            <w:pPr>
              <w:pStyle w:val="TableParagraph"/>
              <w:ind w:left="100"/>
              <w:rPr>
                <w:sz w:val="20"/>
              </w:rPr>
            </w:pPr>
            <w:r>
              <w:rPr>
                <w:sz w:val="20"/>
              </w:rPr>
              <w:t>659</w:t>
            </w:r>
          </w:p>
        </w:tc>
        <w:tc>
          <w:tcPr>
            <w:tcW w:w="1111" w:type="dxa"/>
            <w:tcBorders>
              <w:top w:val="single" w:sz="2" w:space="0" w:color="9CC2E5"/>
              <w:left w:val="single" w:sz="2" w:space="0" w:color="9CC2E5"/>
              <w:bottom w:val="single" w:sz="2" w:space="0" w:color="9CC2E5"/>
              <w:right w:val="single" w:sz="4" w:space="0" w:color="000000"/>
            </w:tcBorders>
            <w:shd w:val="clear" w:color="auto" w:fill="DEEAF6"/>
          </w:tcPr>
          <w:p w:rsidR="00592988" w:rsidRDefault="0011787E">
            <w:pPr>
              <w:pStyle w:val="TableParagraph"/>
              <w:rPr>
                <w:sz w:val="20"/>
              </w:rPr>
            </w:pPr>
            <w:r>
              <w:rPr>
                <w:sz w:val="20"/>
              </w:rPr>
              <w:t>576</w:t>
            </w:r>
          </w:p>
        </w:tc>
        <w:tc>
          <w:tcPr>
            <w:tcW w:w="1111" w:type="dxa"/>
            <w:tcBorders>
              <w:top w:val="single" w:sz="2" w:space="0" w:color="9CC2E5"/>
              <w:left w:val="single" w:sz="4" w:space="0" w:color="000000"/>
              <w:bottom w:val="single" w:sz="2" w:space="0" w:color="9CC2E5"/>
              <w:right w:val="single" w:sz="2" w:space="0" w:color="9CC2E5"/>
            </w:tcBorders>
            <w:shd w:val="clear" w:color="auto" w:fill="DEEAF6"/>
          </w:tcPr>
          <w:p w:rsidR="00592988" w:rsidRDefault="0011787E">
            <w:pPr>
              <w:pStyle w:val="TableParagraph"/>
              <w:ind w:left="103"/>
              <w:rPr>
                <w:sz w:val="20"/>
              </w:rPr>
            </w:pPr>
            <w:r>
              <w:rPr>
                <w:sz w:val="20"/>
              </w:rPr>
              <w:t>106</w:t>
            </w:r>
          </w:p>
        </w:tc>
        <w:tc>
          <w:tcPr>
            <w:tcW w:w="1111" w:type="dxa"/>
            <w:tcBorders>
              <w:top w:val="single" w:sz="2" w:space="0" w:color="9CC2E5"/>
              <w:left w:val="single" w:sz="2" w:space="0" w:color="9CC2E5"/>
              <w:bottom w:val="single" w:sz="2" w:space="0" w:color="9CC2E5"/>
              <w:right w:val="single" w:sz="4" w:space="0" w:color="000000"/>
            </w:tcBorders>
            <w:shd w:val="clear" w:color="auto" w:fill="DEEAF6"/>
          </w:tcPr>
          <w:p w:rsidR="00592988" w:rsidRDefault="0011787E">
            <w:pPr>
              <w:pStyle w:val="TableParagraph"/>
              <w:rPr>
                <w:sz w:val="20"/>
              </w:rPr>
            </w:pPr>
            <w:r>
              <w:rPr>
                <w:sz w:val="20"/>
              </w:rPr>
              <w:t>90</w:t>
            </w:r>
          </w:p>
        </w:tc>
        <w:tc>
          <w:tcPr>
            <w:tcW w:w="1111" w:type="dxa"/>
            <w:tcBorders>
              <w:top w:val="single" w:sz="2" w:space="0" w:color="9CC2E5"/>
              <w:left w:val="single" w:sz="4" w:space="0" w:color="000000"/>
              <w:bottom w:val="single" w:sz="2" w:space="0" w:color="9CC2E5"/>
              <w:right w:val="single" w:sz="2" w:space="0" w:color="9CC2E5"/>
            </w:tcBorders>
            <w:shd w:val="clear" w:color="auto" w:fill="DEEAF6"/>
          </w:tcPr>
          <w:p w:rsidR="00592988" w:rsidRDefault="0011787E">
            <w:pPr>
              <w:pStyle w:val="TableParagraph"/>
              <w:ind w:left="103"/>
              <w:rPr>
                <w:sz w:val="20"/>
              </w:rPr>
            </w:pPr>
            <w:r>
              <w:rPr>
                <w:sz w:val="20"/>
              </w:rPr>
              <w:t>101</w:t>
            </w:r>
          </w:p>
        </w:tc>
        <w:tc>
          <w:tcPr>
            <w:tcW w:w="1111" w:type="dxa"/>
            <w:tcBorders>
              <w:top w:val="single" w:sz="2" w:space="0" w:color="9CC2E5"/>
              <w:left w:val="single" w:sz="2" w:space="0" w:color="9CC2E5"/>
              <w:bottom w:val="single" w:sz="2" w:space="0" w:color="9CC2E5"/>
              <w:right w:val="single" w:sz="4" w:space="0" w:color="000000"/>
            </w:tcBorders>
            <w:shd w:val="clear" w:color="auto" w:fill="DEEAF6"/>
          </w:tcPr>
          <w:p w:rsidR="00592988" w:rsidRDefault="0011787E">
            <w:pPr>
              <w:pStyle w:val="TableParagraph"/>
              <w:ind w:left="106"/>
              <w:rPr>
                <w:sz w:val="20"/>
              </w:rPr>
            </w:pPr>
            <w:r>
              <w:rPr>
                <w:sz w:val="20"/>
              </w:rPr>
              <w:t>99</w:t>
            </w:r>
          </w:p>
        </w:tc>
        <w:tc>
          <w:tcPr>
            <w:tcW w:w="1111" w:type="dxa"/>
            <w:tcBorders>
              <w:top w:val="single" w:sz="2" w:space="0" w:color="9CC2E5"/>
              <w:left w:val="single" w:sz="4" w:space="0" w:color="000000"/>
              <w:bottom w:val="single" w:sz="2" w:space="0" w:color="9CC2E5"/>
              <w:right w:val="single" w:sz="2" w:space="0" w:color="9CC2E5"/>
            </w:tcBorders>
            <w:shd w:val="clear" w:color="auto" w:fill="DEEAF6"/>
          </w:tcPr>
          <w:p w:rsidR="00592988" w:rsidRDefault="0011787E">
            <w:pPr>
              <w:pStyle w:val="TableParagraph"/>
              <w:ind w:left="103"/>
              <w:rPr>
                <w:sz w:val="20"/>
              </w:rPr>
            </w:pPr>
            <w:r>
              <w:rPr>
                <w:sz w:val="20"/>
              </w:rPr>
              <w:t>866</w:t>
            </w:r>
          </w:p>
        </w:tc>
        <w:tc>
          <w:tcPr>
            <w:tcW w:w="1111" w:type="dxa"/>
            <w:tcBorders>
              <w:top w:val="single" w:sz="2" w:space="0" w:color="9CC2E5"/>
              <w:left w:val="single" w:sz="2" w:space="0" w:color="9CC2E5"/>
              <w:bottom w:val="single" w:sz="2" w:space="0" w:color="9CC2E5"/>
              <w:right w:val="single" w:sz="4" w:space="0" w:color="000000"/>
            </w:tcBorders>
            <w:shd w:val="clear" w:color="auto" w:fill="DEEAF6"/>
          </w:tcPr>
          <w:p w:rsidR="00592988" w:rsidRDefault="0011787E">
            <w:pPr>
              <w:pStyle w:val="TableParagraph"/>
              <w:ind w:left="106"/>
              <w:rPr>
                <w:sz w:val="20"/>
              </w:rPr>
            </w:pPr>
            <w:r>
              <w:rPr>
                <w:sz w:val="20"/>
              </w:rPr>
              <w:t>765</w:t>
            </w:r>
          </w:p>
        </w:tc>
      </w:tr>
      <w:tr w:rsidR="00592988">
        <w:trPr>
          <w:trHeight w:val="230"/>
        </w:trPr>
        <w:tc>
          <w:tcPr>
            <w:tcW w:w="859" w:type="dxa"/>
            <w:tcBorders>
              <w:top w:val="single" w:sz="2" w:space="0" w:color="9CC2E5"/>
              <w:left w:val="nil"/>
              <w:bottom w:val="single" w:sz="2" w:space="0" w:color="9CC2E5"/>
              <w:right w:val="single" w:sz="4" w:space="0" w:color="000000"/>
            </w:tcBorders>
          </w:tcPr>
          <w:p w:rsidR="00592988" w:rsidRDefault="0011787E">
            <w:pPr>
              <w:pStyle w:val="TableParagraph"/>
              <w:ind w:left="107"/>
              <w:rPr>
                <w:i/>
                <w:sz w:val="20"/>
              </w:rPr>
            </w:pPr>
            <w:r>
              <w:rPr>
                <w:i/>
                <w:sz w:val="20"/>
              </w:rPr>
              <w:t>2018</w:t>
            </w:r>
          </w:p>
        </w:tc>
        <w:tc>
          <w:tcPr>
            <w:tcW w:w="1109" w:type="dxa"/>
            <w:tcBorders>
              <w:top w:val="single" w:sz="2" w:space="0" w:color="9CC2E5"/>
              <w:left w:val="single" w:sz="4" w:space="0" w:color="000000"/>
              <w:bottom w:val="single" w:sz="4" w:space="0" w:color="000000"/>
              <w:right w:val="single" w:sz="2" w:space="0" w:color="9CC2E5"/>
            </w:tcBorders>
          </w:tcPr>
          <w:p w:rsidR="00592988" w:rsidRDefault="0011787E">
            <w:pPr>
              <w:pStyle w:val="TableParagraph"/>
              <w:ind w:left="100"/>
              <w:rPr>
                <w:sz w:val="20"/>
              </w:rPr>
            </w:pPr>
            <w:r>
              <w:rPr>
                <w:sz w:val="20"/>
              </w:rPr>
              <w:t>679</w:t>
            </w:r>
          </w:p>
        </w:tc>
        <w:tc>
          <w:tcPr>
            <w:tcW w:w="1111" w:type="dxa"/>
            <w:tcBorders>
              <w:top w:val="single" w:sz="2" w:space="0" w:color="9CC2E5"/>
              <w:left w:val="single" w:sz="2" w:space="0" w:color="9CC2E5"/>
              <w:bottom w:val="single" w:sz="4" w:space="0" w:color="000000"/>
              <w:right w:val="single" w:sz="4" w:space="0" w:color="000000"/>
            </w:tcBorders>
          </w:tcPr>
          <w:p w:rsidR="00592988" w:rsidRDefault="0011787E">
            <w:pPr>
              <w:pStyle w:val="TableParagraph"/>
              <w:rPr>
                <w:sz w:val="20"/>
              </w:rPr>
            </w:pPr>
            <w:r>
              <w:rPr>
                <w:sz w:val="20"/>
              </w:rPr>
              <w:t>605</w:t>
            </w:r>
          </w:p>
        </w:tc>
        <w:tc>
          <w:tcPr>
            <w:tcW w:w="1111" w:type="dxa"/>
            <w:tcBorders>
              <w:top w:val="single" w:sz="2" w:space="0" w:color="9CC2E5"/>
              <w:left w:val="single" w:sz="4" w:space="0" w:color="000000"/>
              <w:bottom w:val="single" w:sz="4" w:space="0" w:color="000000"/>
              <w:right w:val="single" w:sz="2" w:space="0" w:color="9CC2E5"/>
            </w:tcBorders>
          </w:tcPr>
          <w:p w:rsidR="00592988" w:rsidRDefault="0011787E">
            <w:pPr>
              <w:pStyle w:val="TableParagraph"/>
              <w:ind w:left="103"/>
              <w:rPr>
                <w:sz w:val="20"/>
              </w:rPr>
            </w:pPr>
            <w:r>
              <w:rPr>
                <w:sz w:val="20"/>
              </w:rPr>
              <w:t>106</w:t>
            </w:r>
          </w:p>
        </w:tc>
        <w:tc>
          <w:tcPr>
            <w:tcW w:w="1111" w:type="dxa"/>
            <w:tcBorders>
              <w:top w:val="single" w:sz="2" w:space="0" w:color="9CC2E5"/>
              <w:left w:val="single" w:sz="2" w:space="0" w:color="9CC2E5"/>
              <w:bottom w:val="single" w:sz="4" w:space="0" w:color="000000"/>
              <w:right w:val="single" w:sz="4" w:space="0" w:color="000000"/>
            </w:tcBorders>
          </w:tcPr>
          <w:p w:rsidR="00592988" w:rsidRDefault="0011787E">
            <w:pPr>
              <w:pStyle w:val="TableParagraph"/>
              <w:rPr>
                <w:sz w:val="20"/>
              </w:rPr>
            </w:pPr>
            <w:r>
              <w:rPr>
                <w:sz w:val="20"/>
              </w:rPr>
              <w:t>87</w:t>
            </w:r>
          </w:p>
        </w:tc>
        <w:tc>
          <w:tcPr>
            <w:tcW w:w="1111" w:type="dxa"/>
            <w:tcBorders>
              <w:top w:val="single" w:sz="2" w:space="0" w:color="9CC2E5"/>
              <w:left w:val="single" w:sz="4" w:space="0" w:color="000000"/>
              <w:bottom w:val="single" w:sz="4" w:space="0" w:color="000000"/>
              <w:right w:val="single" w:sz="2" w:space="0" w:color="9CC2E5"/>
            </w:tcBorders>
          </w:tcPr>
          <w:p w:rsidR="00592988" w:rsidRDefault="0011787E">
            <w:pPr>
              <w:pStyle w:val="TableParagraph"/>
              <w:ind w:left="103"/>
              <w:rPr>
                <w:sz w:val="20"/>
              </w:rPr>
            </w:pPr>
            <w:r>
              <w:rPr>
                <w:sz w:val="20"/>
              </w:rPr>
              <w:t>109</w:t>
            </w:r>
          </w:p>
        </w:tc>
        <w:tc>
          <w:tcPr>
            <w:tcW w:w="1111" w:type="dxa"/>
            <w:tcBorders>
              <w:top w:val="single" w:sz="2" w:space="0" w:color="9CC2E5"/>
              <w:left w:val="single" w:sz="2" w:space="0" w:color="9CC2E5"/>
              <w:bottom w:val="single" w:sz="4" w:space="0" w:color="000000"/>
              <w:right w:val="single" w:sz="4" w:space="0" w:color="000000"/>
            </w:tcBorders>
          </w:tcPr>
          <w:p w:rsidR="00592988" w:rsidRDefault="0011787E">
            <w:pPr>
              <w:pStyle w:val="TableParagraph"/>
              <w:ind w:left="106"/>
              <w:rPr>
                <w:sz w:val="20"/>
              </w:rPr>
            </w:pPr>
            <w:r>
              <w:rPr>
                <w:sz w:val="20"/>
              </w:rPr>
              <w:t>100</w:t>
            </w:r>
          </w:p>
        </w:tc>
        <w:tc>
          <w:tcPr>
            <w:tcW w:w="1111" w:type="dxa"/>
            <w:tcBorders>
              <w:top w:val="single" w:sz="2" w:space="0" w:color="9CC2E5"/>
              <w:left w:val="single" w:sz="4" w:space="0" w:color="000000"/>
              <w:bottom w:val="single" w:sz="4" w:space="0" w:color="000000"/>
              <w:right w:val="single" w:sz="2" w:space="0" w:color="9CC2E5"/>
            </w:tcBorders>
          </w:tcPr>
          <w:p w:rsidR="00592988" w:rsidRDefault="0011787E">
            <w:pPr>
              <w:pStyle w:val="TableParagraph"/>
              <w:ind w:left="103"/>
              <w:rPr>
                <w:sz w:val="20"/>
              </w:rPr>
            </w:pPr>
            <w:r>
              <w:rPr>
                <w:sz w:val="20"/>
              </w:rPr>
              <w:t>894</w:t>
            </w:r>
          </w:p>
        </w:tc>
        <w:tc>
          <w:tcPr>
            <w:tcW w:w="1111" w:type="dxa"/>
            <w:tcBorders>
              <w:top w:val="single" w:sz="2" w:space="0" w:color="9CC2E5"/>
              <w:left w:val="single" w:sz="2" w:space="0" w:color="9CC2E5"/>
              <w:bottom w:val="single" w:sz="4" w:space="0" w:color="000000"/>
              <w:right w:val="single" w:sz="4" w:space="0" w:color="000000"/>
            </w:tcBorders>
          </w:tcPr>
          <w:p w:rsidR="00592988" w:rsidRDefault="0011787E">
            <w:pPr>
              <w:pStyle w:val="TableParagraph"/>
              <w:ind w:left="106"/>
              <w:rPr>
                <w:sz w:val="20"/>
              </w:rPr>
            </w:pPr>
            <w:r>
              <w:rPr>
                <w:sz w:val="20"/>
              </w:rPr>
              <w:t>792</w:t>
            </w:r>
          </w:p>
        </w:tc>
      </w:tr>
    </w:tbl>
    <w:p w:rsidR="00592988" w:rsidRDefault="0011787E">
      <w:pPr>
        <w:pStyle w:val="BodyText"/>
        <w:ind w:left="200"/>
      </w:pPr>
      <w:r>
        <w:rPr>
          <w:color w:val="818181"/>
        </w:rPr>
        <w:t>All intake figures include switchers and students who stopped before 1 Feb. and are now restarting.</w:t>
      </w:r>
    </w:p>
    <w:p w:rsidR="00592988" w:rsidRDefault="00592988">
      <w:pPr>
        <w:sectPr w:rsidR="00592988">
          <w:footerReference w:type="default" r:id="rId10"/>
          <w:type w:val="continuous"/>
          <w:pgSz w:w="11910" w:h="16840"/>
          <w:pgMar w:top="1360" w:right="940" w:bottom="920" w:left="880" w:header="708" w:footer="732" w:gutter="0"/>
          <w:cols w:space="708"/>
        </w:sectPr>
      </w:pPr>
    </w:p>
    <w:p w:rsidR="00592988" w:rsidRDefault="0011787E">
      <w:pPr>
        <w:pStyle w:val="Heading3"/>
      </w:pPr>
      <w:bookmarkStart w:id="8" w:name="Master’s"/>
      <w:bookmarkEnd w:id="8"/>
      <w:r>
        <w:lastRenderedPageBreak/>
        <w:t>Master’s</w:t>
      </w:r>
    </w:p>
    <w:tbl>
      <w:tblPr>
        <w:tblW w:w="0" w:type="auto"/>
        <w:tblInd w:w="21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CellMar>
          <w:left w:w="0" w:type="dxa"/>
          <w:right w:w="0" w:type="dxa"/>
        </w:tblCellMar>
        <w:tblLook w:val="01E0" w:firstRow="1" w:lastRow="1" w:firstColumn="1" w:lastColumn="1" w:noHBand="0" w:noVBand="0"/>
      </w:tblPr>
      <w:tblGrid>
        <w:gridCol w:w="849"/>
        <w:gridCol w:w="907"/>
        <w:gridCol w:w="909"/>
        <w:gridCol w:w="909"/>
        <w:gridCol w:w="911"/>
        <w:gridCol w:w="911"/>
        <w:gridCol w:w="911"/>
        <w:gridCol w:w="911"/>
        <w:gridCol w:w="863"/>
        <w:gridCol w:w="1638"/>
      </w:tblGrid>
      <w:tr w:rsidR="00592988">
        <w:trPr>
          <w:trHeight w:val="458"/>
        </w:trPr>
        <w:tc>
          <w:tcPr>
            <w:tcW w:w="849" w:type="dxa"/>
            <w:tcBorders>
              <w:top w:val="nil"/>
              <w:left w:val="nil"/>
              <w:right w:val="nil"/>
            </w:tcBorders>
            <w:shd w:val="clear" w:color="auto" w:fill="1F4E79"/>
          </w:tcPr>
          <w:p w:rsidR="00592988" w:rsidRDefault="0011787E">
            <w:pPr>
              <w:pStyle w:val="TableParagraph"/>
              <w:spacing w:line="230" w:lineRule="exact"/>
              <w:ind w:left="108"/>
              <w:rPr>
                <w:b/>
                <w:i/>
                <w:sz w:val="20"/>
              </w:rPr>
            </w:pPr>
            <w:r>
              <w:rPr>
                <w:b/>
                <w:i/>
                <w:color w:val="FFFFFF"/>
                <w:sz w:val="20"/>
              </w:rPr>
              <w:t>Year</w:t>
            </w:r>
          </w:p>
        </w:tc>
        <w:tc>
          <w:tcPr>
            <w:tcW w:w="907" w:type="dxa"/>
            <w:tcBorders>
              <w:top w:val="nil"/>
              <w:left w:val="nil"/>
              <w:right w:val="nil"/>
            </w:tcBorders>
            <w:shd w:val="clear" w:color="auto" w:fill="1F4E79"/>
          </w:tcPr>
          <w:p w:rsidR="00592988" w:rsidRDefault="0011787E">
            <w:pPr>
              <w:pStyle w:val="TableParagraph"/>
              <w:spacing w:line="227" w:lineRule="exact"/>
              <w:ind w:left="103"/>
              <w:rPr>
                <w:b/>
                <w:sz w:val="20"/>
              </w:rPr>
            </w:pPr>
            <w:r>
              <w:rPr>
                <w:b/>
                <w:color w:val="FFFFFF"/>
                <w:sz w:val="20"/>
              </w:rPr>
              <w:t>BME</w:t>
            </w:r>
          </w:p>
        </w:tc>
        <w:tc>
          <w:tcPr>
            <w:tcW w:w="909" w:type="dxa"/>
            <w:tcBorders>
              <w:top w:val="nil"/>
              <w:left w:val="nil"/>
              <w:right w:val="nil"/>
            </w:tcBorders>
            <w:shd w:val="clear" w:color="auto" w:fill="1F4E79"/>
          </w:tcPr>
          <w:p w:rsidR="00592988" w:rsidRDefault="0011787E">
            <w:pPr>
              <w:pStyle w:val="TableParagraph"/>
              <w:spacing w:line="227" w:lineRule="exact"/>
              <w:ind w:left="108"/>
              <w:rPr>
                <w:b/>
                <w:sz w:val="20"/>
              </w:rPr>
            </w:pPr>
            <w:r>
              <w:rPr>
                <w:b/>
                <w:color w:val="FFFFFF"/>
                <w:sz w:val="20"/>
              </w:rPr>
              <w:t>ME</w:t>
            </w:r>
          </w:p>
        </w:tc>
        <w:tc>
          <w:tcPr>
            <w:tcW w:w="909" w:type="dxa"/>
            <w:tcBorders>
              <w:top w:val="nil"/>
              <w:left w:val="nil"/>
              <w:right w:val="nil"/>
            </w:tcBorders>
            <w:shd w:val="clear" w:color="auto" w:fill="1F4E79"/>
          </w:tcPr>
          <w:p w:rsidR="00592988" w:rsidRDefault="0011787E">
            <w:pPr>
              <w:pStyle w:val="TableParagraph"/>
              <w:spacing w:line="227" w:lineRule="exact"/>
              <w:ind w:left="109"/>
              <w:rPr>
                <w:b/>
                <w:sz w:val="20"/>
              </w:rPr>
            </w:pPr>
            <w:r>
              <w:rPr>
                <w:b/>
                <w:color w:val="FFFFFF"/>
                <w:sz w:val="20"/>
              </w:rPr>
              <w:t>MSE</w:t>
            </w:r>
          </w:p>
        </w:tc>
        <w:tc>
          <w:tcPr>
            <w:tcW w:w="911" w:type="dxa"/>
            <w:tcBorders>
              <w:top w:val="nil"/>
              <w:left w:val="nil"/>
              <w:right w:val="nil"/>
            </w:tcBorders>
            <w:shd w:val="clear" w:color="auto" w:fill="1F4E79"/>
          </w:tcPr>
          <w:p w:rsidR="00592988" w:rsidRDefault="0011787E">
            <w:pPr>
              <w:pStyle w:val="TableParagraph"/>
              <w:spacing w:line="227" w:lineRule="exact"/>
              <w:ind w:left="110"/>
              <w:rPr>
                <w:b/>
                <w:sz w:val="20"/>
              </w:rPr>
            </w:pPr>
            <w:r>
              <w:rPr>
                <w:b/>
                <w:color w:val="FFFFFF"/>
                <w:sz w:val="20"/>
              </w:rPr>
              <w:t>MT</w:t>
            </w:r>
          </w:p>
        </w:tc>
        <w:tc>
          <w:tcPr>
            <w:tcW w:w="911" w:type="dxa"/>
            <w:tcBorders>
              <w:top w:val="nil"/>
              <w:left w:val="nil"/>
              <w:right w:val="nil"/>
            </w:tcBorders>
            <w:shd w:val="clear" w:color="auto" w:fill="1F4E79"/>
          </w:tcPr>
          <w:p w:rsidR="00592988" w:rsidRDefault="0011787E">
            <w:pPr>
              <w:pStyle w:val="TableParagraph"/>
              <w:spacing w:line="227" w:lineRule="exact"/>
              <w:ind w:left="110"/>
              <w:rPr>
                <w:b/>
                <w:sz w:val="20"/>
              </w:rPr>
            </w:pPr>
            <w:r>
              <w:rPr>
                <w:b/>
                <w:color w:val="FFFFFF"/>
                <w:sz w:val="20"/>
              </w:rPr>
              <w:t>ODE</w:t>
            </w:r>
          </w:p>
        </w:tc>
        <w:tc>
          <w:tcPr>
            <w:tcW w:w="911" w:type="dxa"/>
            <w:tcBorders>
              <w:top w:val="nil"/>
              <w:left w:val="nil"/>
              <w:right w:val="nil"/>
            </w:tcBorders>
            <w:shd w:val="clear" w:color="auto" w:fill="1F4E79"/>
          </w:tcPr>
          <w:p w:rsidR="00592988" w:rsidRDefault="0011787E">
            <w:pPr>
              <w:pStyle w:val="TableParagraph"/>
              <w:spacing w:line="227" w:lineRule="exact"/>
              <w:ind w:left="111"/>
              <w:rPr>
                <w:b/>
                <w:sz w:val="20"/>
              </w:rPr>
            </w:pPr>
            <w:r>
              <w:rPr>
                <w:b/>
                <w:color w:val="FFFFFF"/>
                <w:sz w:val="20"/>
              </w:rPr>
              <w:t>S&amp;C</w:t>
            </w:r>
          </w:p>
        </w:tc>
        <w:tc>
          <w:tcPr>
            <w:tcW w:w="911" w:type="dxa"/>
            <w:tcBorders>
              <w:top w:val="nil"/>
              <w:left w:val="nil"/>
              <w:right w:val="nil"/>
            </w:tcBorders>
            <w:shd w:val="clear" w:color="auto" w:fill="1F4E79"/>
          </w:tcPr>
          <w:p w:rsidR="00592988" w:rsidRDefault="0011787E">
            <w:pPr>
              <w:pStyle w:val="TableParagraph"/>
              <w:spacing w:line="227" w:lineRule="exact"/>
              <w:ind w:left="112"/>
              <w:rPr>
                <w:b/>
                <w:sz w:val="20"/>
              </w:rPr>
            </w:pPr>
            <w:r>
              <w:rPr>
                <w:b/>
                <w:color w:val="FFFFFF"/>
                <w:sz w:val="20"/>
              </w:rPr>
              <w:t>TM</w:t>
            </w:r>
          </w:p>
        </w:tc>
        <w:tc>
          <w:tcPr>
            <w:tcW w:w="863" w:type="dxa"/>
            <w:tcBorders>
              <w:top w:val="nil"/>
              <w:left w:val="nil"/>
              <w:bottom w:val="single" w:sz="4" w:space="0" w:color="000000"/>
              <w:right w:val="nil"/>
            </w:tcBorders>
            <w:shd w:val="clear" w:color="auto" w:fill="1F4E79"/>
          </w:tcPr>
          <w:p w:rsidR="00592988" w:rsidRDefault="0011787E">
            <w:pPr>
              <w:pStyle w:val="TableParagraph"/>
              <w:spacing w:line="227" w:lineRule="exact"/>
              <w:ind w:left="113"/>
              <w:rPr>
                <w:b/>
                <w:sz w:val="20"/>
              </w:rPr>
            </w:pPr>
            <w:r>
              <w:rPr>
                <w:b/>
                <w:color w:val="FFFFFF"/>
                <w:sz w:val="20"/>
              </w:rPr>
              <w:t>Total</w:t>
            </w:r>
          </w:p>
        </w:tc>
        <w:tc>
          <w:tcPr>
            <w:tcW w:w="1638" w:type="dxa"/>
            <w:tcBorders>
              <w:top w:val="nil"/>
              <w:left w:val="nil"/>
              <w:bottom w:val="single" w:sz="4" w:space="0" w:color="000000"/>
              <w:right w:val="nil"/>
            </w:tcBorders>
            <w:shd w:val="clear" w:color="auto" w:fill="1F4E79"/>
          </w:tcPr>
          <w:p w:rsidR="00592988" w:rsidRDefault="0011787E">
            <w:pPr>
              <w:pStyle w:val="TableParagraph"/>
              <w:spacing w:before="2" w:line="228" w:lineRule="exact"/>
              <w:ind w:left="114"/>
              <w:rPr>
                <w:b/>
                <w:sz w:val="20"/>
              </w:rPr>
            </w:pPr>
            <w:r>
              <w:rPr>
                <w:b/>
                <w:color w:val="FFFFFF"/>
                <w:sz w:val="20"/>
              </w:rPr>
              <w:t xml:space="preserve">Of which </w:t>
            </w:r>
            <w:r>
              <w:rPr>
                <w:b/>
                <w:color w:val="FFFFFF"/>
                <w:w w:val="95"/>
                <w:sz w:val="20"/>
              </w:rPr>
              <w:t>international</w:t>
            </w:r>
          </w:p>
        </w:tc>
      </w:tr>
      <w:tr w:rsidR="00592988">
        <w:trPr>
          <w:trHeight w:val="230"/>
        </w:trPr>
        <w:tc>
          <w:tcPr>
            <w:tcW w:w="849" w:type="dxa"/>
            <w:tcBorders>
              <w:left w:val="nil"/>
              <w:bottom w:val="nil"/>
            </w:tcBorders>
          </w:tcPr>
          <w:p w:rsidR="00592988" w:rsidRDefault="0011787E">
            <w:pPr>
              <w:pStyle w:val="TableParagraph"/>
              <w:ind w:left="108"/>
              <w:rPr>
                <w:i/>
                <w:sz w:val="20"/>
              </w:rPr>
            </w:pPr>
            <w:r>
              <w:rPr>
                <w:i/>
                <w:sz w:val="20"/>
              </w:rPr>
              <w:t>2013</w:t>
            </w:r>
          </w:p>
        </w:tc>
        <w:tc>
          <w:tcPr>
            <w:tcW w:w="907" w:type="dxa"/>
            <w:shd w:val="clear" w:color="auto" w:fill="DEEAF6"/>
          </w:tcPr>
          <w:p w:rsidR="00592988" w:rsidRDefault="0011787E">
            <w:pPr>
              <w:pStyle w:val="TableParagraph"/>
              <w:ind w:left="98"/>
              <w:rPr>
                <w:sz w:val="20"/>
              </w:rPr>
            </w:pPr>
            <w:r>
              <w:rPr>
                <w:sz w:val="20"/>
              </w:rPr>
              <w:t>45</w:t>
            </w:r>
          </w:p>
        </w:tc>
        <w:tc>
          <w:tcPr>
            <w:tcW w:w="909" w:type="dxa"/>
            <w:shd w:val="clear" w:color="auto" w:fill="DEEAF6"/>
          </w:tcPr>
          <w:p w:rsidR="00592988" w:rsidRDefault="0011787E">
            <w:pPr>
              <w:pStyle w:val="TableParagraph"/>
              <w:ind w:left="103"/>
              <w:rPr>
                <w:sz w:val="20"/>
              </w:rPr>
            </w:pPr>
            <w:r>
              <w:rPr>
                <w:sz w:val="20"/>
              </w:rPr>
              <w:t>173</w:t>
            </w:r>
          </w:p>
        </w:tc>
        <w:tc>
          <w:tcPr>
            <w:tcW w:w="909" w:type="dxa"/>
            <w:shd w:val="clear" w:color="auto" w:fill="DEEAF6"/>
          </w:tcPr>
          <w:p w:rsidR="00592988" w:rsidRDefault="0011787E">
            <w:pPr>
              <w:pStyle w:val="TableParagraph"/>
              <w:ind w:left="104"/>
              <w:rPr>
                <w:sz w:val="20"/>
              </w:rPr>
            </w:pPr>
            <w:r>
              <w:rPr>
                <w:sz w:val="20"/>
              </w:rPr>
              <w:t>15</w:t>
            </w:r>
          </w:p>
        </w:tc>
        <w:tc>
          <w:tcPr>
            <w:tcW w:w="911" w:type="dxa"/>
            <w:shd w:val="clear" w:color="auto" w:fill="DEEAF6"/>
          </w:tcPr>
          <w:p w:rsidR="00592988" w:rsidRDefault="0011787E">
            <w:pPr>
              <w:pStyle w:val="TableParagraph"/>
              <w:rPr>
                <w:sz w:val="20"/>
              </w:rPr>
            </w:pPr>
            <w:r>
              <w:rPr>
                <w:sz w:val="20"/>
              </w:rPr>
              <w:t>15</w:t>
            </w:r>
          </w:p>
        </w:tc>
        <w:tc>
          <w:tcPr>
            <w:tcW w:w="911" w:type="dxa"/>
            <w:shd w:val="clear" w:color="auto" w:fill="DEEAF6"/>
          </w:tcPr>
          <w:p w:rsidR="00592988" w:rsidRDefault="0011787E">
            <w:pPr>
              <w:pStyle w:val="TableParagraph"/>
              <w:rPr>
                <w:sz w:val="20"/>
              </w:rPr>
            </w:pPr>
            <w:r>
              <w:rPr>
                <w:sz w:val="20"/>
              </w:rPr>
              <w:t>86</w:t>
            </w:r>
          </w:p>
        </w:tc>
        <w:tc>
          <w:tcPr>
            <w:tcW w:w="911" w:type="dxa"/>
            <w:shd w:val="clear" w:color="auto" w:fill="DEEAF6"/>
          </w:tcPr>
          <w:p w:rsidR="00592988" w:rsidRDefault="0011787E">
            <w:pPr>
              <w:pStyle w:val="TableParagraph"/>
              <w:ind w:left="106"/>
              <w:rPr>
                <w:sz w:val="20"/>
              </w:rPr>
            </w:pPr>
            <w:r>
              <w:rPr>
                <w:sz w:val="20"/>
              </w:rPr>
              <w:t>43</w:t>
            </w:r>
          </w:p>
        </w:tc>
        <w:tc>
          <w:tcPr>
            <w:tcW w:w="911" w:type="dxa"/>
            <w:tcBorders>
              <w:right w:val="single" w:sz="4" w:space="0" w:color="000000"/>
            </w:tcBorders>
            <w:shd w:val="clear" w:color="auto" w:fill="DEEAF6"/>
          </w:tcPr>
          <w:p w:rsidR="00592988" w:rsidRDefault="0011787E">
            <w:pPr>
              <w:pStyle w:val="TableParagraph"/>
              <w:ind w:left="107"/>
              <w:rPr>
                <w:sz w:val="20"/>
              </w:rPr>
            </w:pPr>
            <w:r>
              <w:rPr>
                <w:w w:val="99"/>
                <w:sz w:val="20"/>
              </w:rPr>
              <w:t>-</w:t>
            </w:r>
          </w:p>
        </w:tc>
        <w:tc>
          <w:tcPr>
            <w:tcW w:w="863" w:type="dxa"/>
            <w:tcBorders>
              <w:top w:val="single" w:sz="4" w:space="0" w:color="000000"/>
              <w:left w:val="single" w:sz="4" w:space="0" w:color="000000"/>
            </w:tcBorders>
            <w:shd w:val="clear" w:color="auto" w:fill="DEEAF6"/>
          </w:tcPr>
          <w:p w:rsidR="00592988" w:rsidRDefault="0011787E">
            <w:pPr>
              <w:pStyle w:val="TableParagraph"/>
              <w:ind w:left="108"/>
              <w:rPr>
                <w:sz w:val="20"/>
              </w:rPr>
            </w:pPr>
            <w:r>
              <w:rPr>
                <w:sz w:val="20"/>
              </w:rPr>
              <w:t>379</w:t>
            </w:r>
          </w:p>
        </w:tc>
        <w:tc>
          <w:tcPr>
            <w:tcW w:w="1638" w:type="dxa"/>
            <w:tcBorders>
              <w:top w:val="single" w:sz="4" w:space="0" w:color="000000"/>
              <w:right w:val="single" w:sz="4" w:space="0" w:color="000000"/>
            </w:tcBorders>
            <w:shd w:val="clear" w:color="auto" w:fill="DEEAF6"/>
          </w:tcPr>
          <w:p w:rsidR="00592988" w:rsidRDefault="0011787E">
            <w:pPr>
              <w:pStyle w:val="TableParagraph"/>
              <w:ind w:left="109"/>
              <w:rPr>
                <w:sz w:val="20"/>
              </w:rPr>
            </w:pPr>
            <w:r>
              <w:rPr>
                <w:sz w:val="20"/>
              </w:rPr>
              <w:t>130</w:t>
            </w:r>
          </w:p>
        </w:tc>
      </w:tr>
      <w:tr w:rsidR="00592988">
        <w:trPr>
          <w:trHeight w:val="230"/>
        </w:trPr>
        <w:tc>
          <w:tcPr>
            <w:tcW w:w="849" w:type="dxa"/>
            <w:tcBorders>
              <w:top w:val="nil"/>
              <w:left w:val="nil"/>
              <w:bottom w:val="nil"/>
            </w:tcBorders>
          </w:tcPr>
          <w:p w:rsidR="00592988" w:rsidRDefault="0011787E">
            <w:pPr>
              <w:pStyle w:val="TableParagraph"/>
              <w:ind w:left="108"/>
              <w:rPr>
                <w:i/>
                <w:sz w:val="20"/>
              </w:rPr>
            </w:pPr>
            <w:r>
              <w:rPr>
                <w:i/>
                <w:sz w:val="20"/>
              </w:rPr>
              <w:t>2014</w:t>
            </w:r>
          </w:p>
        </w:tc>
        <w:tc>
          <w:tcPr>
            <w:tcW w:w="907" w:type="dxa"/>
          </w:tcPr>
          <w:p w:rsidR="00592988" w:rsidRDefault="0011787E">
            <w:pPr>
              <w:pStyle w:val="TableParagraph"/>
              <w:ind w:left="98"/>
              <w:rPr>
                <w:sz w:val="20"/>
              </w:rPr>
            </w:pPr>
            <w:r>
              <w:rPr>
                <w:sz w:val="20"/>
              </w:rPr>
              <w:t>50</w:t>
            </w:r>
          </w:p>
        </w:tc>
        <w:tc>
          <w:tcPr>
            <w:tcW w:w="909" w:type="dxa"/>
          </w:tcPr>
          <w:p w:rsidR="00592988" w:rsidRDefault="0011787E">
            <w:pPr>
              <w:pStyle w:val="TableParagraph"/>
              <w:ind w:left="103"/>
              <w:rPr>
                <w:sz w:val="20"/>
              </w:rPr>
            </w:pPr>
            <w:r>
              <w:rPr>
                <w:sz w:val="20"/>
              </w:rPr>
              <w:t>174</w:t>
            </w:r>
          </w:p>
        </w:tc>
        <w:tc>
          <w:tcPr>
            <w:tcW w:w="909" w:type="dxa"/>
          </w:tcPr>
          <w:p w:rsidR="00592988" w:rsidRDefault="0011787E">
            <w:pPr>
              <w:pStyle w:val="TableParagraph"/>
              <w:ind w:left="104"/>
              <w:rPr>
                <w:sz w:val="20"/>
              </w:rPr>
            </w:pPr>
            <w:r>
              <w:rPr>
                <w:sz w:val="20"/>
              </w:rPr>
              <w:t>24</w:t>
            </w:r>
          </w:p>
        </w:tc>
        <w:tc>
          <w:tcPr>
            <w:tcW w:w="911" w:type="dxa"/>
          </w:tcPr>
          <w:p w:rsidR="00592988" w:rsidRDefault="0011787E">
            <w:pPr>
              <w:pStyle w:val="TableParagraph"/>
              <w:rPr>
                <w:sz w:val="20"/>
              </w:rPr>
            </w:pPr>
            <w:r>
              <w:rPr>
                <w:sz w:val="20"/>
              </w:rPr>
              <w:t>24</w:t>
            </w:r>
          </w:p>
        </w:tc>
        <w:tc>
          <w:tcPr>
            <w:tcW w:w="911" w:type="dxa"/>
          </w:tcPr>
          <w:p w:rsidR="00592988" w:rsidRDefault="0011787E">
            <w:pPr>
              <w:pStyle w:val="TableParagraph"/>
              <w:rPr>
                <w:sz w:val="20"/>
              </w:rPr>
            </w:pPr>
            <w:r>
              <w:rPr>
                <w:sz w:val="20"/>
              </w:rPr>
              <w:t>110</w:t>
            </w:r>
          </w:p>
        </w:tc>
        <w:tc>
          <w:tcPr>
            <w:tcW w:w="911" w:type="dxa"/>
          </w:tcPr>
          <w:p w:rsidR="00592988" w:rsidRDefault="0011787E">
            <w:pPr>
              <w:pStyle w:val="TableParagraph"/>
              <w:ind w:left="106"/>
              <w:rPr>
                <w:sz w:val="20"/>
              </w:rPr>
            </w:pPr>
            <w:r>
              <w:rPr>
                <w:sz w:val="20"/>
              </w:rPr>
              <w:t>49</w:t>
            </w:r>
          </w:p>
        </w:tc>
        <w:tc>
          <w:tcPr>
            <w:tcW w:w="911" w:type="dxa"/>
            <w:tcBorders>
              <w:right w:val="single" w:sz="4" w:space="0" w:color="000000"/>
            </w:tcBorders>
          </w:tcPr>
          <w:p w:rsidR="00592988" w:rsidRDefault="0011787E">
            <w:pPr>
              <w:pStyle w:val="TableParagraph"/>
              <w:ind w:left="107"/>
              <w:rPr>
                <w:sz w:val="20"/>
              </w:rPr>
            </w:pPr>
            <w:r>
              <w:rPr>
                <w:w w:val="99"/>
                <w:sz w:val="20"/>
              </w:rPr>
              <w:t>-</w:t>
            </w:r>
          </w:p>
        </w:tc>
        <w:tc>
          <w:tcPr>
            <w:tcW w:w="863" w:type="dxa"/>
            <w:tcBorders>
              <w:left w:val="single" w:sz="4" w:space="0" w:color="000000"/>
            </w:tcBorders>
          </w:tcPr>
          <w:p w:rsidR="00592988" w:rsidRDefault="0011787E">
            <w:pPr>
              <w:pStyle w:val="TableParagraph"/>
              <w:ind w:left="108"/>
              <w:rPr>
                <w:sz w:val="20"/>
              </w:rPr>
            </w:pPr>
            <w:r>
              <w:rPr>
                <w:sz w:val="20"/>
              </w:rPr>
              <w:t>431</w:t>
            </w:r>
          </w:p>
        </w:tc>
        <w:tc>
          <w:tcPr>
            <w:tcW w:w="1638" w:type="dxa"/>
            <w:tcBorders>
              <w:right w:val="single" w:sz="4" w:space="0" w:color="000000"/>
            </w:tcBorders>
          </w:tcPr>
          <w:p w:rsidR="00592988" w:rsidRDefault="0011787E">
            <w:pPr>
              <w:pStyle w:val="TableParagraph"/>
              <w:ind w:left="109"/>
              <w:rPr>
                <w:sz w:val="20"/>
              </w:rPr>
            </w:pPr>
            <w:r>
              <w:rPr>
                <w:sz w:val="20"/>
              </w:rPr>
              <w:t>170</w:t>
            </w:r>
          </w:p>
        </w:tc>
      </w:tr>
      <w:tr w:rsidR="00592988">
        <w:trPr>
          <w:trHeight w:val="229"/>
        </w:trPr>
        <w:tc>
          <w:tcPr>
            <w:tcW w:w="849" w:type="dxa"/>
            <w:tcBorders>
              <w:top w:val="nil"/>
              <w:left w:val="nil"/>
              <w:bottom w:val="nil"/>
            </w:tcBorders>
          </w:tcPr>
          <w:p w:rsidR="00592988" w:rsidRDefault="0011787E">
            <w:pPr>
              <w:pStyle w:val="TableParagraph"/>
              <w:ind w:left="108"/>
              <w:rPr>
                <w:i/>
                <w:sz w:val="20"/>
              </w:rPr>
            </w:pPr>
            <w:r>
              <w:rPr>
                <w:i/>
                <w:sz w:val="20"/>
              </w:rPr>
              <w:t>2015</w:t>
            </w:r>
          </w:p>
        </w:tc>
        <w:tc>
          <w:tcPr>
            <w:tcW w:w="907" w:type="dxa"/>
            <w:shd w:val="clear" w:color="auto" w:fill="DEEAF6"/>
          </w:tcPr>
          <w:p w:rsidR="00592988" w:rsidRDefault="0011787E">
            <w:pPr>
              <w:pStyle w:val="TableParagraph"/>
              <w:ind w:left="98"/>
              <w:rPr>
                <w:sz w:val="20"/>
              </w:rPr>
            </w:pPr>
            <w:r>
              <w:rPr>
                <w:sz w:val="20"/>
              </w:rPr>
              <w:t>53</w:t>
            </w:r>
          </w:p>
        </w:tc>
        <w:tc>
          <w:tcPr>
            <w:tcW w:w="909" w:type="dxa"/>
            <w:shd w:val="clear" w:color="auto" w:fill="DEEAF6"/>
          </w:tcPr>
          <w:p w:rsidR="00592988" w:rsidRDefault="0011787E">
            <w:pPr>
              <w:pStyle w:val="TableParagraph"/>
              <w:ind w:left="103"/>
              <w:rPr>
                <w:sz w:val="20"/>
              </w:rPr>
            </w:pPr>
            <w:r>
              <w:rPr>
                <w:sz w:val="20"/>
              </w:rPr>
              <w:t>181</w:t>
            </w:r>
          </w:p>
        </w:tc>
        <w:tc>
          <w:tcPr>
            <w:tcW w:w="909" w:type="dxa"/>
            <w:shd w:val="clear" w:color="auto" w:fill="DEEAF6"/>
          </w:tcPr>
          <w:p w:rsidR="00592988" w:rsidRDefault="0011787E">
            <w:pPr>
              <w:pStyle w:val="TableParagraph"/>
              <w:ind w:left="104"/>
              <w:rPr>
                <w:sz w:val="20"/>
              </w:rPr>
            </w:pPr>
            <w:r>
              <w:rPr>
                <w:sz w:val="20"/>
              </w:rPr>
              <w:t>15</w:t>
            </w:r>
          </w:p>
        </w:tc>
        <w:tc>
          <w:tcPr>
            <w:tcW w:w="911" w:type="dxa"/>
            <w:shd w:val="clear" w:color="auto" w:fill="DEEAF6"/>
          </w:tcPr>
          <w:p w:rsidR="00592988" w:rsidRDefault="0011787E">
            <w:pPr>
              <w:pStyle w:val="TableParagraph"/>
              <w:rPr>
                <w:sz w:val="20"/>
              </w:rPr>
            </w:pPr>
            <w:r>
              <w:rPr>
                <w:sz w:val="20"/>
              </w:rPr>
              <w:t>42</w:t>
            </w:r>
          </w:p>
        </w:tc>
        <w:tc>
          <w:tcPr>
            <w:tcW w:w="911" w:type="dxa"/>
            <w:shd w:val="clear" w:color="auto" w:fill="DEEAF6"/>
          </w:tcPr>
          <w:p w:rsidR="00592988" w:rsidRDefault="0011787E">
            <w:pPr>
              <w:pStyle w:val="TableParagraph"/>
              <w:rPr>
                <w:sz w:val="20"/>
              </w:rPr>
            </w:pPr>
            <w:r>
              <w:rPr>
                <w:sz w:val="20"/>
              </w:rPr>
              <w:t>81</w:t>
            </w:r>
          </w:p>
        </w:tc>
        <w:tc>
          <w:tcPr>
            <w:tcW w:w="911" w:type="dxa"/>
            <w:shd w:val="clear" w:color="auto" w:fill="DEEAF6"/>
          </w:tcPr>
          <w:p w:rsidR="00592988" w:rsidRDefault="0011787E">
            <w:pPr>
              <w:pStyle w:val="TableParagraph"/>
              <w:ind w:left="106"/>
              <w:rPr>
                <w:sz w:val="20"/>
              </w:rPr>
            </w:pPr>
            <w:r>
              <w:rPr>
                <w:sz w:val="20"/>
              </w:rPr>
              <w:t>62</w:t>
            </w:r>
          </w:p>
        </w:tc>
        <w:tc>
          <w:tcPr>
            <w:tcW w:w="911" w:type="dxa"/>
            <w:tcBorders>
              <w:right w:val="single" w:sz="4" w:space="0" w:color="000000"/>
            </w:tcBorders>
            <w:shd w:val="clear" w:color="auto" w:fill="DEEAF6"/>
          </w:tcPr>
          <w:p w:rsidR="00592988" w:rsidRDefault="0011787E">
            <w:pPr>
              <w:pStyle w:val="TableParagraph"/>
              <w:ind w:left="107"/>
              <w:rPr>
                <w:sz w:val="20"/>
              </w:rPr>
            </w:pPr>
            <w:r>
              <w:rPr>
                <w:w w:val="99"/>
                <w:sz w:val="20"/>
              </w:rPr>
              <w:t>-</w:t>
            </w:r>
          </w:p>
        </w:tc>
        <w:tc>
          <w:tcPr>
            <w:tcW w:w="863" w:type="dxa"/>
            <w:tcBorders>
              <w:left w:val="single" w:sz="4" w:space="0" w:color="000000"/>
            </w:tcBorders>
            <w:shd w:val="clear" w:color="auto" w:fill="DEEAF6"/>
          </w:tcPr>
          <w:p w:rsidR="00592988" w:rsidRDefault="0011787E">
            <w:pPr>
              <w:pStyle w:val="TableParagraph"/>
              <w:ind w:left="108"/>
              <w:rPr>
                <w:sz w:val="20"/>
              </w:rPr>
            </w:pPr>
            <w:r>
              <w:rPr>
                <w:sz w:val="20"/>
              </w:rPr>
              <w:t>434</w:t>
            </w:r>
          </w:p>
        </w:tc>
        <w:tc>
          <w:tcPr>
            <w:tcW w:w="1638" w:type="dxa"/>
            <w:tcBorders>
              <w:right w:val="single" w:sz="4" w:space="0" w:color="000000"/>
            </w:tcBorders>
            <w:shd w:val="clear" w:color="auto" w:fill="DEEAF6"/>
          </w:tcPr>
          <w:p w:rsidR="00592988" w:rsidRDefault="0011787E">
            <w:pPr>
              <w:pStyle w:val="TableParagraph"/>
              <w:ind w:left="109"/>
              <w:rPr>
                <w:sz w:val="20"/>
              </w:rPr>
            </w:pPr>
            <w:r>
              <w:rPr>
                <w:sz w:val="20"/>
              </w:rPr>
              <w:t>223</w:t>
            </w:r>
          </w:p>
        </w:tc>
      </w:tr>
      <w:tr w:rsidR="00592988">
        <w:trPr>
          <w:trHeight w:val="230"/>
        </w:trPr>
        <w:tc>
          <w:tcPr>
            <w:tcW w:w="849" w:type="dxa"/>
            <w:tcBorders>
              <w:top w:val="nil"/>
              <w:left w:val="nil"/>
              <w:bottom w:val="nil"/>
            </w:tcBorders>
          </w:tcPr>
          <w:p w:rsidR="00592988" w:rsidRDefault="0011787E">
            <w:pPr>
              <w:pStyle w:val="TableParagraph"/>
              <w:ind w:left="108"/>
              <w:rPr>
                <w:i/>
                <w:sz w:val="20"/>
              </w:rPr>
            </w:pPr>
            <w:r>
              <w:rPr>
                <w:i/>
                <w:sz w:val="20"/>
              </w:rPr>
              <w:t>2016</w:t>
            </w:r>
          </w:p>
        </w:tc>
        <w:tc>
          <w:tcPr>
            <w:tcW w:w="907" w:type="dxa"/>
          </w:tcPr>
          <w:p w:rsidR="00592988" w:rsidRDefault="0011787E">
            <w:pPr>
              <w:pStyle w:val="TableParagraph"/>
              <w:ind w:left="98"/>
              <w:rPr>
                <w:sz w:val="20"/>
              </w:rPr>
            </w:pPr>
            <w:r>
              <w:rPr>
                <w:sz w:val="20"/>
              </w:rPr>
              <w:t>100</w:t>
            </w:r>
          </w:p>
        </w:tc>
        <w:tc>
          <w:tcPr>
            <w:tcW w:w="909" w:type="dxa"/>
          </w:tcPr>
          <w:p w:rsidR="00592988" w:rsidRDefault="0011787E">
            <w:pPr>
              <w:pStyle w:val="TableParagraph"/>
              <w:ind w:left="103"/>
              <w:rPr>
                <w:sz w:val="20"/>
              </w:rPr>
            </w:pPr>
            <w:r>
              <w:rPr>
                <w:sz w:val="20"/>
              </w:rPr>
              <w:t>214</w:t>
            </w:r>
          </w:p>
        </w:tc>
        <w:tc>
          <w:tcPr>
            <w:tcW w:w="909" w:type="dxa"/>
          </w:tcPr>
          <w:p w:rsidR="00592988" w:rsidRDefault="0011787E">
            <w:pPr>
              <w:pStyle w:val="TableParagraph"/>
              <w:ind w:left="104"/>
              <w:rPr>
                <w:sz w:val="20"/>
              </w:rPr>
            </w:pPr>
            <w:r>
              <w:rPr>
                <w:sz w:val="20"/>
              </w:rPr>
              <w:t>34</w:t>
            </w:r>
          </w:p>
        </w:tc>
        <w:tc>
          <w:tcPr>
            <w:tcW w:w="911" w:type="dxa"/>
          </w:tcPr>
          <w:p w:rsidR="00592988" w:rsidRDefault="0011787E">
            <w:pPr>
              <w:pStyle w:val="TableParagraph"/>
              <w:rPr>
                <w:sz w:val="20"/>
              </w:rPr>
            </w:pPr>
            <w:r>
              <w:rPr>
                <w:sz w:val="20"/>
              </w:rPr>
              <w:t>45</w:t>
            </w:r>
          </w:p>
        </w:tc>
        <w:tc>
          <w:tcPr>
            <w:tcW w:w="911" w:type="dxa"/>
          </w:tcPr>
          <w:p w:rsidR="00592988" w:rsidRDefault="0011787E">
            <w:pPr>
              <w:pStyle w:val="TableParagraph"/>
              <w:rPr>
                <w:sz w:val="20"/>
              </w:rPr>
            </w:pPr>
            <w:r>
              <w:rPr>
                <w:sz w:val="20"/>
              </w:rPr>
              <w:t>55</w:t>
            </w:r>
          </w:p>
        </w:tc>
        <w:tc>
          <w:tcPr>
            <w:tcW w:w="911" w:type="dxa"/>
          </w:tcPr>
          <w:p w:rsidR="00592988" w:rsidRDefault="0011787E">
            <w:pPr>
              <w:pStyle w:val="TableParagraph"/>
              <w:ind w:left="106"/>
              <w:rPr>
                <w:sz w:val="20"/>
              </w:rPr>
            </w:pPr>
            <w:r>
              <w:rPr>
                <w:sz w:val="20"/>
              </w:rPr>
              <w:t>82</w:t>
            </w:r>
          </w:p>
        </w:tc>
        <w:tc>
          <w:tcPr>
            <w:tcW w:w="911" w:type="dxa"/>
            <w:tcBorders>
              <w:right w:val="single" w:sz="4" w:space="0" w:color="000000"/>
            </w:tcBorders>
          </w:tcPr>
          <w:p w:rsidR="00592988" w:rsidRDefault="0011787E">
            <w:pPr>
              <w:pStyle w:val="TableParagraph"/>
              <w:ind w:left="107"/>
              <w:rPr>
                <w:sz w:val="20"/>
              </w:rPr>
            </w:pPr>
            <w:r>
              <w:rPr>
                <w:w w:val="99"/>
                <w:sz w:val="20"/>
              </w:rPr>
              <w:t>-</w:t>
            </w:r>
          </w:p>
        </w:tc>
        <w:tc>
          <w:tcPr>
            <w:tcW w:w="863" w:type="dxa"/>
            <w:tcBorders>
              <w:left w:val="single" w:sz="4" w:space="0" w:color="000000"/>
            </w:tcBorders>
          </w:tcPr>
          <w:p w:rsidR="00592988" w:rsidRDefault="0011787E">
            <w:pPr>
              <w:pStyle w:val="TableParagraph"/>
              <w:ind w:left="108"/>
              <w:rPr>
                <w:sz w:val="20"/>
              </w:rPr>
            </w:pPr>
            <w:r>
              <w:rPr>
                <w:sz w:val="20"/>
              </w:rPr>
              <w:t>530</w:t>
            </w:r>
          </w:p>
        </w:tc>
        <w:tc>
          <w:tcPr>
            <w:tcW w:w="1638" w:type="dxa"/>
            <w:tcBorders>
              <w:right w:val="single" w:sz="4" w:space="0" w:color="000000"/>
            </w:tcBorders>
          </w:tcPr>
          <w:p w:rsidR="00592988" w:rsidRDefault="0011787E">
            <w:pPr>
              <w:pStyle w:val="TableParagraph"/>
              <w:ind w:left="109"/>
              <w:rPr>
                <w:sz w:val="20"/>
              </w:rPr>
            </w:pPr>
            <w:r>
              <w:rPr>
                <w:sz w:val="20"/>
              </w:rPr>
              <w:t>225</w:t>
            </w:r>
          </w:p>
        </w:tc>
      </w:tr>
      <w:tr w:rsidR="00592988">
        <w:trPr>
          <w:trHeight w:val="230"/>
        </w:trPr>
        <w:tc>
          <w:tcPr>
            <w:tcW w:w="849" w:type="dxa"/>
            <w:tcBorders>
              <w:top w:val="nil"/>
              <w:left w:val="nil"/>
              <w:bottom w:val="nil"/>
            </w:tcBorders>
          </w:tcPr>
          <w:p w:rsidR="00592988" w:rsidRDefault="0011787E">
            <w:pPr>
              <w:pStyle w:val="TableParagraph"/>
              <w:ind w:left="108"/>
              <w:rPr>
                <w:i/>
                <w:sz w:val="20"/>
              </w:rPr>
            </w:pPr>
            <w:r>
              <w:rPr>
                <w:i/>
                <w:sz w:val="20"/>
              </w:rPr>
              <w:t>2017</w:t>
            </w:r>
          </w:p>
        </w:tc>
        <w:tc>
          <w:tcPr>
            <w:tcW w:w="907" w:type="dxa"/>
            <w:shd w:val="clear" w:color="auto" w:fill="DEEAF6"/>
          </w:tcPr>
          <w:p w:rsidR="00592988" w:rsidRDefault="0011787E">
            <w:pPr>
              <w:pStyle w:val="TableParagraph"/>
              <w:ind w:left="98"/>
              <w:rPr>
                <w:sz w:val="20"/>
              </w:rPr>
            </w:pPr>
            <w:r>
              <w:rPr>
                <w:sz w:val="20"/>
              </w:rPr>
              <w:t>134</w:t>
            </w:r>
          </w:p>
        </w:tc>
        <w:tc>
          <w:tcPr>
            <w:tcW w:w="909" w:type="dxa"/>
            <w:shd w:val="clear" w:color="auto" w:fill="DEEAF6"/>
          </w:tcPr>
          <w:p w:rsidR="00592988" w:rsidRDefault="0011787E">
            <w:pPr>
              <w:pStyle w:val="TableParagraph"/>
              <w:ind w:left="103"/>
              <w:rPr>
                <w:sz w:val="20"/>
              </w:rPr>
            </w:pPr>
            <w:r>
              <w:rPr>
                <w:sz w:val="20"/>
              </w:rPr>
              <w:t>239</w:t>
            </w:r>
          </w:p>
        </w:tc>
        <w:tc>
          <w:tcPr>
            <w:tcW w:w="909" w:type="dxa"/>
            <w:shd w:val="clear" w:color="auto" w:fill="DEEAF6"/>
          </w:tcPr>
          <w:p w:rsidR="00592988" w:rsidRDefault="0011787E">
            <w:pPr>
              <w:pStyle w:val="TableParagraph"/>
              <w:ind w:left="104"/>
              <w:rPr>
                <w:sz w:val="20"/>
              </w:rPr>
            </w:pPr>
            <w:r>
              <w:rPr>
                <w:sz w:val="20"/>
              </w:rPr>
              <w:t>36</w:t>
            </w:r>
          </w:p>
        </w:tc>
        <w:tc>
          <w:tcPr>
            <w:tcW w:w="911" w:type="dxa"/>
            <w:shd w:val="clear" w:color="auto" w:fill="DEEAF6"/>
          </w:tcPr>
          <w:p w:rsidR="00592988" w:rsidRDefault="0011787E">
            <w:pPr>
              <w:pStyle w:val="TableParagraph"/>
              <w:rPr>
                <w:sz w:val="20"/>
              </w:rPr>
            </w:pPr>
            <w:r>
              <w:rPr>
                <w:sz w:val="20"/>
              </w:rPr>
              <w:t>57</w:t>
            </w:r>
          </w:p>
        </w:tc>
        <w:tc>
          <w:tcPr>
            <w:tcW w:w="911" w:type="dxa"/>
            <w:shd w:val="clear" w:color="auto" w:fill="DEEAF6"/>
          </w:tcPr>
          <w:p w:rsidR="00592988" w:rsidRDefault="0011787E">
            <w:pPr>
              <w:pStyle w:val="TableParagraph"/>
              <w:rPr>
                <w:sz w:val="20"/>
              </w:rPr>
            </w:pPr>
            <w:r>
              <w:rPr>
                <w:sz w:val="20"/>
              </w:rPr>
              <w:t>48</w:t>
            </w:r>
          </w:p>
        </w:tc>
        <w:tc>
          <w:tcPr>
            <w:tcW w:w="911" w:type="dxa"/>
            <w:shd w:val="clear" w:color="auto" w:fill="DEEAF6"/>
          </w:tcPr>
          <w:p w:rsidR="00592988" w:rsidRDefault="0011787E">
            <w:pPr>
              <w:pStyle w:val="TableParagraph"/>
              <w:ind w:left="106"/>
              <w:rPr>
                <w:sz w:val="20"/>
              </w:rPr>
            </w:pPr>
            <w:r>
              <w:rPr>
                <w:sz w:val="20"/>
              </w:rPr>
              <w:t>115</w:t>
            </w:r>
          </w:p>
        </w:tc>
        <w:tc>
          <w:tcPr>
            <w:tcW w:w="911" w:type="dxa"/>
            <w:tcBorders>
              <w:right w:val="single" w:sz="4" w:space="0" w:color="000000"/>
            </w:tcBorders>
            <w:shd w:val="clear" w:color="auto" w:fill="DEEAF6"/>
          </w:tcPr>
          <w:p w:rsidR="00592988" w:rsidRDefault="0011787E">
            <w:pPr>
              <w:pStyle w:val="TableParagraph"/>
              <w:ind w:left="107"/>
              <w:rPr>
                <w:sz w:val="20"/>
              </w:rPr>
            </w:pPr>
            <w:r>
              <w:rPr>
                <w:sz w:val="20"/>
              </w:rPr>
              <w:t>23</w:t>
            </w:r>
          </w:p>
        </w:tc>
        <w:tc>
          <w:tcPr>
            <w:tcW w:w="863" w:type="dxa"/>
            <w:tcBorders>
              <w:left w:val="single" w:sz="4" w:space="0" w:color="000000"/>
            </w:tcBorders>
            <w:shd w:val="clear" w:color="auto" w:fill="DEEAF6"/>
          </w:tcPr>
          <w:p w:rsidR="00592988" w:rsidRDefault="0011787E">
            <w:pPr>
              <w:pStyle w:val="TableParagraph"/>
              <w:ind w:left="108"/>
              <w:rPr>
                <w:sz w:val="20"/>
              </w:rPr>
            </w:pPr>
            <w:r>
              <w:rPr>
                <w:sz w:val="20"/>
              </w:rPr>
              <w:t>652</w:t>
            </w:r>
          </w:p>
        </w:tc>
        <w:tc>
          <w:tcPr>
            <w:tcW w:w="1638" w:type="dxa"/>
            <w:tcBorders>
              <w:right w:val="single" w:sz="4" w:space="0" w:color="000000"/>
            </w:tcBorders>
            <w:shd w:val="clear" w:color="auto" w:fill="DEEAF6"/>
          </w:tcPr>
          <w:p w:rsidR="00592988" w:rsidRDefault="0011787E">
            <w:pPr>
              <w:pStyle w:val="TableParagraph"/>
              <w:ind w:left="109"/>
              <w:rPr>
                <w:sz w:val="20"/>
              </w:rPr>
            </w:pPr>
            <w:r>
              <w:rPr>
                <w:sz w:val="20"/>
              </w:rPr>
              <w:t>221</w:t>
            </w:r>
          </w:p>
        </w:tc>
      </w:tr>
      <w:tr w:rsidR="00592988">
        <w:trPr>
          <w:trHeight w:val="232"/>
        </w:trPr>
        <w:tc>
          <w:tcPr>
            <w:tcW w:w="849" w:type="dxa"/>
            <w:tcBorders>
              <w:top w:val="nil"/>
              <w:left w:val="nil"/>
              <w:bottom w:val="nil"/>
            </w:tcBorders>
          </w:tcPr>
          <w:p w:rsidR="00592988" w:rsidRDefault="0011787E">
            <w:pPr>
              <w:pStyle w:val="TableParagraph"/>
              <w:spacing w:line="212" w:lineRule="exact"/>
              <w:ind w:left="108"/>
              <w:rPr>
                <w:i/>
                <w:sz w:val="20"/>
              </w:rPr>
            </w:pPr>
            <w:r>
              <w:rPr>
                <w:i/>
                <w:sz w:val="20"/>
              </w:rPr>
              <w:t>2018</w:t>
            </w:r>
          </w:p>
        </w:tc>
        <w:tc>
          <w:tcPr>
            <w:tcW w:w="907" w:type="dxa"/>
          </w:tcPr>
          <w:p w:rsidR="00592988" w:rsidRDefault="0011787E">
            <w:pPr>
              <w:pStyle w:val="TableParagraph"/>
              <w:spacing w:line="212" w:lineRule="exact"/>
              <w:ind w:left="98"/>
              <w:rPr>
                <w:sz w:val="20"/>
              </w:rPr>
            </w:pPr>
            <w:r>
              <w:rPr>
                <w:sz w:val="20"/>
              </w:rPr>
              <w:t>149</w:t>
            </w:r>
          </w:p>
        </w:tc>
        <w:tc>
          <w:tcPr>
            <w:tcW w:w="909" w:type="dxa"/>
          </w:tcPr>
          <w:p w:rsidR="00592988" w:rsidRDefault="0011787E">
            <w:pPr>
              <w:pStyle w:val="TableParagraph"/>
              <w:spacing w:line="212" w:lineRule="exact"/>
              <w:ind w:left="103"/>
              <w:rPr>
                <w:sz w:val="20"/>
              </w:rPr>
            </w:pPr>
            <w:r>
              <w:rPr>
                <w:sz w:val="20"/>
              </w:rPr>
              <w:t>291</w:t>
            </w:r>
          </w:p>
        </w:tc>
        <w:tc>
          <w:tcPr>
            <w:tcW w:w="909" w:type="dxa"/>
          </w:tcPr>
          <w:p w:rsidR="00592988" w:rsidRDefault="0011787E">
            <w:pPr>
              <w:pStyle w:val="TableParagraph"/>
              <w:spacing w:line="212" w:lineRule="exact"/>
              <w:ind w:left="104"/>
              <w:rPr>
                <w:sz w:val="20"/>
              </w:rPr>
            </w:pPr>
            <w:r>
              <w:rPr>
                <w:sz w:val="20"/>
              </w:rPr>
              <w:t>47</w:t>
            </w:r>
          </w:p>
        </w:tc>
        <w:tc>
          <w:tcPr>
            <w:tcW w:w="911" w:type="dxa"/>
          </w:tcPr>
          <w:p w:rsidR="00592988" w:rsidRDefault="0011787E">
            <w:pPr>
              <w:pStyle w:val="TableParagraph"/>
              <w:spacing w:line="212" w:lineRule="exact"/>
              <w:rPr>
                <w:sz w:val="20"/>
              </w:rPr>
            </w:pPr>
            <w:r>
              <w:rPr>
                <w:sz w:val="20"/>
              </w:rPr>
              <w:t>69</w:t>
            </w:r>
          </w:p>
        </w:tc>
        <w:tc>
          <w:tcPr>
            <w:tcW w:w="911" w:type="dxa"/>
          </w:tcPr>
          <w:p w:rsidR="00592988" w:rsidRDefault="0011787E">
            <w:pPr>
              <w:pStyle w:val="TableParagraph"/>
              <w:spacing w:line="212" w:lineRule="exact"/>
              <w:rPr>
                <w:sz w:val="20"/>
              </w:rPr>
            </w:pPr>
            <w:r>
              <w:rPr>
                <w:sz w:val="20"/>
              </w:rPr>
              <w:t>47</w:t>
            </w:r>
          </w:p>
        </w:tc>
        <w:tc>
          <w:tcPr>
            <w:tcW w:w="911" w:type="dxa"/>
          </w:tcPr>
          <w:p w:rsidR="00592988" w:rsidRDefault="0011787E">
            <w:pPr>
              <w:pStyle w:val="TableParagraph"/>
              <w:spacing w:line="212" w:lineRule="exact"/>
              <w:ind w:left="106"/>
              <w:rPr>
                <w:sz w:val="20"/>
              </w:rPr>
            </w:pPr>
            <w:r>
              <w:rPr>
                <w:sz w:val="20"/>
              </w:rPr>
              <w:t>95</w:t>
            </w:r>
          </w:p>
        </w:tc>
        <w:tc>
          <w:tcPr>
            <w:tcW w:w="911" w:type="dxa"/>
            <w:tcBorders>
              <w:right w:val="single" w:sz="4" w:space="0" w:color="000000"/>
            </w:tcBorders>
          </w:tcPr>
          <w:p w:rsidR="00592988" w:rsidRDefault="0011787E">
            <w:pPr>
              <w:pStyle w:val="TableParagraph"/>
              <w:spacing w:line="212" w:lineRule="exact"/>
              <w:ind w:left="107"/>
              <w:rPr>
                <w:sz w:val="20"/>
              </w:rPr>
            </w:pPr>
            <w:r>
              <w:rPr>
                <w:sz w:val="20"/>
              </w:rPr>
              <w:t>33</w:t>
            </w:r>
          </w:p>
        </w:tc>
        <w:tc>
          <w:tcPr>
            <w:tcW w:w="863" w:type="dxa"/>
            <w:tcBorders>
              <w:left w:val="single" w:sz="4" w:space="0" w:color="000000"/>
              <w:bottom w:val="single" w:sz="4" w:space="0" w:color="000000"/>
            </w:tcBorders>
          </w:tcPr>
          <w:p w:rsidR="00592988" w:rsidRDefault="0011787E">
            <w:pPr>
              <w:pStyle w:val="TableParagraph"/>
              <w:spacing w:line="212" w:lineRule="exact"/>
              <w:ind w:left="108"/>
              <w:rPr>
                <w:sz w:val="20"/>
              </w:rPr>
            </w:pPr>
            <w:r>
              <w:rPr>
                <w:sz w:val="20"/>
              </w:rPr>
              <w:t>731</w:t>
            </w:r>
          </w:p>
        </w:tc>
        <w:tc>
          <w:tcPr>
            <w:tcW w:w="1638" w:type="dxa"/>
            <w:tcBorders>
              <w:bottom w:val="single" w:sz="4" w:space="0" w:color="000000"/>
              <w:right w:val="single" w:sz="4" w:space="0" w:color="000000"/>
            </w:tcBorders>
          </w:tcPr>
          <w:p w:rsidR="00592988" w:rsidRDefault="0011787E">
            <w:pPr>
              <w:pStyle w:val="TableParagraph"/>
              <w:spacing w:line="212" w:lineRule="exact"/>
              <w:ind w:left="109"/>
              <w:rPr>
                <w:sz w:val="20"/>
              </w:rPr>
            </w:pPr>
            <w:r>
              <w:rPr>
                <w:sz w:val="20"/>
              </w:rPr>
              <w:t>212</w:t>
            </w:r>
          </w:p>
        </w:tc>
      </w:tr>
    </w:tbl>
    <w:p w:rsidR="00592988" w:rsidRDefault="0011787E">
      <w:pPr>
        <w:pStyle w:val="BodyText"/>
        <w:spacing w:line="249" w:lineRule="auto"/>
        <w:ind w:left="200" w:right="371"/>
      </w:pPr>
      <w:r>
        <w:rPr>
          <w:color w:val="818181"/>
        </w:rPr>
        <w:t>Master's intake figures are for 2nd week of October each year, so do not include intake of TU Delft students during the academic year (in particular per 1 February).</w:t>
      </w:r>
    </w:p>
    <w:p w:rsidR="00592988" w:rsidRDefault="00592988">
      <w:pPr>
        <w:pStyle w:val="BodyText"/>
        <w:rPr>
          <w:sz w:val="22"/>
        </w:rPr>
      </w:pPr>
    </w:p>
    <w:p w:rsidR="00592988" w:rsidRDefault="00592988">
      <w:pPr>
        <w:pStyle w:val="BodyText"/>
        <w:rPr>
          <w:sz w:val="22"/>
        </w:rPr>
      </w:pPr>
    </w:p>
    <w:p w:rsidR="00592988" w:rsidRDefault="0011787E">
      <w:pPr>
        <w:pStyle w:val="Heading1"/>
        <w:spacing w:before="152"/>
      </w:pPr>
      <w:bookmarkStart w:id="9" w:name="Important_changes_in_3mE_rules_and_regul"/>
      <w:bookmarkStart w:id="10" w:name="_bookmark2"/>
      <w:bookmarkEnd w:id="9"/>
      <w:bookmarkEnd w:id="10"/>
      <w:r>
        <w:t>IMPORTANT CHANGES IN 3ME RULES AND REGULATIONS</w:t>
      </w:r>
    </w:p>
    <w:p w:rsidR="00592988" w:rsidRDefault="00592988">
      <w:pPr>
        <w:pStyle w:val="BodyText"/>
        <w:rPr>
          <w:b/>
          <w:sz w:val="30"/>
        </w:rPr>
      </w:pPr>
    </w:p>
    <w:p w:rsidR="00592988" w:rsidRDefault="0011787E">
      <w:pPr>
        <w:pStyle w:val="Heading2"/>
        <w:spacing w:before="204"/>
      </w:pPr>
      <w:bookmarkStart w:id="11" w:name="TER_(OER)_&amp;_RGBE_(RRvE)_2018-2019"/>
      <w:bookmarkEnd w:id="11"/>
      <w:r>
        <w:t>TER (OER) &amp; RGBE (RRvE) 2018-2019</w:t>
      </w:r>
    </w:p>
    <w:p w:rsidR="00592988" w:rsidRDefault="0011787E">
      <w:pPr>
        <w:pStyle w:val="BodyText"/>
        <w:spacing w:before="13" w:line="252" w:lineRule="auto"/>
        <w:ind w:left="200" w:right="798"/>
      </w:pPr>
      <w:r>
        <w:t xml:space="preserve">The </w:t>
      </w:r>
      <w:r>
        <w:rPr>
          <w:u w:val="single"/>
        </w:rPr>
        <w:t>Teaching and Examination Regulations (TER/OER)</w:t>
      </w:r>
      <w:r>
        <w:t xml:space="preserve"> and the </w:t>
      </w:r>
      <w:r>
        <w:rPr>
          <w:u w:val="single"/>
        </w:rPr>
        <w:t>Rules and Guidelines for the Board of</w:t>
      </w:r>
      <w:r>
        <w:t xml:space="preserve"> </w:t>
      </w:r>
      <w:r>
        <w:rPr>
          <w:u w:val="single"/>
        </w:rPr>
        <w:t>Examiners (RGBE/RRvE)</w:t>
      </w:r>
      <w:r>
        <w:t xml:space="preserve"> for the academic year 2018-2019 can be found on the 3mE student portal: </w:t>
      </w:r>
      <w:hyperlink r:id="rId11">
        <w:r>
          <w:rPr>
            <w:color w:val="0000FF"/>
            <w:u w:val="single" w:color="0000FF"/>
          </w:rPr>
          <w:t>https://studenten.tudelft.nl/</w:t>
        </w:r>
        <w:r>
          <w:rPr>
            <w:color w:val="0000FF"/>
          </w:rPr>
          <w:t xml:space="preserve"> </w:t>
        </w:r>
      </w:hyperlink>
      <w:r>
        <w:t>&gt; Teaching &gt; 3mE &gt; Rules &amp; Regulations (</w:t>
      </w:r>
      <w:hyperlink r:id="rId12">
        <w:r>
          <w:rPr>
            <w:color w:val="0000FF"/>
            <w:u w:val="single" w:color="0000FF"/>
          </w:rPr>
          <w:t>direct link</w:t>
        </w:r>
      </w:hyperlink>
      <w:r>
        <w:t>)</w:t>
      </w:r>
    </w:p>
    <w:p w:rsidR="00592988" w:rsidRDefault="0011787E">
      <w:pPr>
        <w:pStyle w:val="BodyText"/>
        <w:spacing w:before="161" w:line="252" w:lineRule="auto"/>
        <w:ind w:left="199" w:right="198"/>
      </w:pPr>
      <w:r>
        <w:t>The TU Delft model Teaching and Examination Regulations (TER/OER) have been thoroughly reviewed by Legal Affairs, and thus the 3mE versions are adjusted as well. A critical examination has been made of which articles are prescribed by the Higher Education and Research Act (WHW) and unnecessary articles have been deleted. Text-related improvements have been made, the articles placed in a more logical order and the glossary has been shortened and arranged alphabetically. Finally, it is stated for each article whether the Board of Studies and/or the Faculty Student Council has right of approval or advisory powers.</w:t>
      </w:r>
    </w:p>
    <w:p w:rsidR="00592988" w:rsidRDefault="00592988">
      <w:pPr>
        <w:pStyle w:val="BodyText"/>
        <w:rPr>
          <w:sz w:val="22"/>
        </w:rPr>
      </w:pPr>
    </w:p>
    <w:p w:rsidR="00592988" w:rsidRDefault="00592988">
      <w:pPr>
        <w:pStyle w:val="BodyText"/>
        <w:spacing w:before="7"/>
        <w:rPr>
          <w:sz w:val="26"/>
        </w:rPr>
      </w:pPr>
    </w:p>
    <w:p w:rsidR="00592988" w:rsidRDefault="0011787E">
      <w:pPr>
        <w:pStyle w:val="Heading2"/>
        <w:spacing w:before="0"/>
      </w:pPr>
      <w:bookmarkStart w:id="12" w:name="Amendments_to_the_TER_(OER)_compared_to_"/>
      <w:bookmarkEnd w:id="12"/>
      <w:r>
        <w:t>Amendments to the TER (OER) compared to 2017-2018</w:t>
      </w:r>
    </w:p>
    <w:p w:rsidR="00592988" w:rsidRDefault="0011787E">
      <w:pPr>
        <w:pStyle w:val="BodyText"/>
        <w:spacing w:before="16"/>
        <w:ind w:left="200"/>
      </w:pPr>
      <w:r>
        <w:t xml:space="preserve">The </w:t>
      </w:r>
      <w:r>
        <w:rPr>
          <w:u w:val="single"/>
        </w:rPr>
        <w:t>most important content-related amendments to the OER</w:t>
      </w:r>
      <w:r>
        <w:t xml:space="preserve"> are:</w:t>
      </w:r>
    </w:p>
    <w:p w:rsidR="00592988" w:rsidRDefault="00592988">
      <w:pPr>
        <w:pStyle w:val="BodyText"/>
        <w:spacing w:before="10"/>
        <w:rPr>
          <w:sz w:val="13"/>
        </w:rPr>
      </w:pPr>
    </w:p>
    <w:p w:rsidR="00592988" w:rsidRDefault="0011787E">
      <w:pPr>
        <w:pStyle w:val="ListParagraph"/>
        <w:numPr>
          <w:ilvl w:val="0"/>
          <w:numId w:val="5"/>
        </w:numPr>
        <w:tabs>
          <w:tab w:val="left" w:pos="323"/>
        </w:tabs>
        <w:spacing w:before="93" w:line="249" w:lineRule="auto"/>
        <w:ind w:right="284" w:firstLine="0"/>
        <w:rPr>
          <w:sz w:val="20"/>
        </w:rPr>
      </w:pPr>
      <w:r>
        <w:rPr>
          <w:sz w:val="20"/>
        </w:rPr>
        <w:t>with regard to its definition and presentation in the OER, the practical exercise is clarified in Article 2.f: the practical</w:t>
      </w:r>
      <w:r>
        <w:rPr>
          <w:spacing w:val="-3"/>
          <w:sz w:val="20"/>
        </w:rPr>
        <w:t xml:space="preserve"> </w:t>
      </w:r>
      <w:r>
        <w:rPr>
          <w:sz w:val="20"/>
        </w:rPr>
        <w:t>exercise</w:t>
      </w:r>
      <w:r>
        <w:rPr>
          <w:spacing w:val="-4"/>
          <w:sz w:val="20"/>
        </w:rPr>
        <w:t xml:space="preserve"> </w:t>
      </w:r>
      <w:r>
        <w:rPr>
          <w:sz w:val="20"/>
        </w:rPr>
        <w:t>is a</w:t>
      </w:r>
      <w:r>
        <w:rPr>
          <w:spacing w:val="-4"/>
          <w:sz w:val="20"/>
        </w:rPr>
        <w:t xml:space="preserve"> </w:t>
      </w:r>
      <w:r>
        <w:rPr>
          <w:sz w:val="20"/>
        </w:rPr>
        <w:t>form of</w:t>
      </w:r>
      <w:r>
        <w:rPr>
          <w:spacing w:val="-2"/>
          <w:sz w:val="20"/>
        </w:rPr>
        <w:t xml:space="preserve"> </w:t>
      </w:r>
      <w:r>
        <w:rPr>
          <w:sz w:val="20"/>
        </w:rPr>
        <w:t>teaching</w:t>
      </w:r>
      <w:r>
        <w:rPr>
          <w:spacing w:val="-4"/>
          <w:sz w:val="20"/>
        </w:rPr>
        <w:t xml:space="preserve"> </w:t>
      </w:r>
      <w:r>
        <w:rPr>
          <w:sz w:val="20"/>
        </w:rPr>
        <w:t>(course</w:t>
      </w:r>
      <w:r>
        <w:rPr>
          <w:spacing w:val="-4"/>
          <w:sz w:val="20"/>
        </w:rPr>
        <w:t xml:space="preserve"> </w:t>
      </w:r>
      <w:r>
        <w:rPr>
          <w:sz w:val="20"/>
        </w:rPr>
        <w:t>or</w:t>
      </w:r>
      <w:r>
        <w:rPr>
          <w:spacing w:val="-2"/>
          <w:sz w:val="20"/>
        </w:rPr>
        <w:t xml:space="preserve"> </w:t>
      </w:r>
      <w:r>
        <w:rPr>
          <w:sz w:val="20"/>
        </w:rPr>
        <w:t>part</w:t>
      </w:r>
      <w:r>
        <w:rPr>
          <w:spacing w:val="-2"/>
          <w:sz w:val="20"/>
        </w:rPr>
        <w:t xml:space="preserve"> </w:t>
      </w:r>
      <w:r>
        <w:rPr>
          <w:sz w:val="20"/>
        </w:rPr>
        <w:t>of</w:t>
      </w:r>
      <w:r>
        <w:rPr>
          <w:spacing w:val="-2"/>
          <w:sz w:val="20"/>
        </w:rPr>
        <w:t xml:space="preserve"> </w:t>
      </w:r>
      <w:r>
        <w:rPr>
          <w:sz w:val="20"/>
        </w:rPr>
        <w:t>a</w:t>
      </w:r>
      <w:r>
        <w:rPr>
          <w:spacing w:val="-4"/>
          <w:sz w:val="20"/>
        </w:rPr>
        <w:t xml:space="preserve"> </w:t>
      </w:r>
      <w:r>
        <w:rPr>
          <w:sz w:val="20"/>
        </w:rPr>
        <w:t>course)</w:t>
      </w:r>
      <w:r>
        <w:rPr>
          <w:spacing w:val="-4"/>
          <w:sz w:val="20"/>
        </w:rPr>
        <w:t xml:space="preserve"> </w:t>
      </w:r>
      <w:r>
        <w:rPr>
          <w:sz w:val="20"/>
        </w:rPr>
        <w:t>which</w:t>
      </w:r>
      <w:r>
        <w:rPr>
          <w:spacing w:val="-4"/>
          <w:sz w:val="20"/>
        </w:rPr>
        <w:t xml:space="preserve"> </w:t>
      </w:r>
      <w:r>
        <w:rPr>
          <w:spacing w:val="2"/>
          <w:sz w:val="20"/>
        </w:rPr>
        <w:t>may</w:t>
      </w:r>
      <w:r>
        <w:rPr>
          <w:spacing w:val="-7"/>
          <w:sz w:val="20"/>
        </w:rPr>
        <w:t xml:space="preserve"> </w:t>
      </w:r>
      <w:r>
        <w:rPr>
          <w:sz w:val="20"/>
        </w:rPr>
        <w:t>conclude</w:t>
      </w:r>
      <w:r>
        <w:rPr>
          <w:spacing w:val="-2"/>
          <w:sz w:val="20"/>
        </w:rPr>
        <w:t xml:space="preserve"> </w:t>
      </w:r>
      <w:r>
        <w:rPr>
          <w:sz w:val="20"/>
        </w:rPr>
        <w:t>with</w:t>
      </w:r>
      <w:r>
        <w:rPr>
          <w:spacing w:val="-4"/>
          <w:sz w:val="20"/>
        </w:rPr>
        <w:t xml:space="preserve"> </w:t>
      </w:r>
      <w:r>
        <w:rPr>
          <w:sz w:val="20"/>
        </w:rPr>
        <w:t>an</w:t>
      </w:r>
      <w:r>
        <w:rPr>
          <w:spacing w:val="-2"/>
          <w:sz w:val="20"/>
        </w:rPr>
        <w:t xml:space="preserve"> </w:t>
      </w:r>
      <w:r>
        <w:rPr>
          <w:sz w:val="20"/>
        </w:rPr>
        <w:t>examination.</w:t>
      </w:r>
    </w:p>
    <w:p w:rsidR="00592988" w:rsidRDefault="0011787E">
      <w:pPr>
        <w:pStyle w:val="ListParagraph"/>
        <w:numPr>
          <w:ilvl w:val="0"/>
          <w:numId w:val="5"/>
        </w:numPr>
        <w:tabs>
          <w:tab w:val="left" w:pos="323"/>
        </w:tabs>
        <w:spacing w:before="165" w:line="252" w:lineRule="auto"/>
        <w:ind w:right="393" w:firstLine="0"/>
        <w:jc w:val="both"/>
        <w:rPr>
          <w:sz w:val="20"/>
        </w:rPr>
      </w:pPr>
      <w:r>
        <w:rPr>
          <w:sz w:val="20"/>
        </w:rPr>
        <w:t>The admission requirements for the degree programme (Article 3) have now been added to the OER. This was arranged in the TU Delft Policy on Fees and Enrolment and referred to in the OER. However, it is more correct and clear to include it in the OER</w:t>
      </w:r>
      <w:r>
        <w:rPr>
          <w:spacing w:val="-6"/>
          <w:sz w:val="20"/>
        </w:rPr>
        <w:t xml:space="preserve"> </w:t>
      </w:r>
      <w:r>
        <w:rPr>
          <w:sz w:val="20"/>
        </w:rPr>
        <w:t>itself.</w:t>
      </w:r>
    </w:p>
    <w:p w:rsidR="00592988" w:rsidRDefault="0011787E">
      <w:pPr>
        <w:pStyle w:val="ListParagraph"/>
        <w:numPr>
          <w:ilvl w:val="0"/>
          <w:numId w:val="5"/>
        </w:numPr>
        <w:tabs>
          <w:tab w:val="left" w:pos="323"/>
        </w:tabs>
        <w:spacing w:before="161" w:line="252" w:lineRule="auto"/>
        <w:ind w:right="171" w:firstLine="0"/>
        <w:rPr>
          <w:sz w:val="20"/>
        </w:rPr>
      </w:pPr>
      <w:r>
        <w:rPr>
          <w:sz w:val="20"/>
        </w:rPr>
        <w:t>The 'actual programme design' is a relatively new mandatory part of the OER. The OER now contains Article 7 and an appendix with the main points of the programme design (including study load, contact hours, forms and scheduling of examination, language of instruction). The details of these main points are shown in the digital study</w:t>
      </w:r>
      <w:r>
        <w:rPr>
          <w:spacing w:val="-5"/>
          <w:sz w:val="20"/>
        </w:rPr>
        <w:t xml:space="preserve"> </w:t>
      </w:r>
      <w:r>
        <w:rPr>
          <w:sz w:val="20"/>
        </w:rPr>
        <w:t>guide.</w:t>
      </w:r>
    </w:p>
    <w:p w:rsidR="00592988" w:rsidRDefault="0011787E">
      <w:pPr>
        <w:pStyle w:val="ListParagraph"/>
        <w:numPr>
          <w:ilvl w:val="0"/>
          <w:numId w:val="5"/>
        </w:numPr>
        <w:tabs>
          <w:tab w:val="left" w:pos="323"/>
        </w:tabs>
        <w:spacing w:before="160" w:line="252" w:lineRule="auto"/>
        <w:ind w:right="623" w:firstLine="0"/>
        <w:rPr>
          <w:sz w:val="20"/>
        </w:rPr>
      </w:pPr>
      <w:r>
        <w:rPr>
          <w:sz w:val="20"/>
        </w:rPr>
        <w:t>Article 18. 3 has been amended: The oral examination is administered by at least two examiners. The second examiner does not necessarily need to have as much expert knowledge as the first examiner (for example concerning specialised courses in the Master's programme), but must be capable of ensuring a meticulous process of testing and</w:t>
      </w:r>
      <w:r>
        <w:rPr>
          <w:spacing w:val="-3"/>
          <w:sz w:val="20"/>
        </w:rPr>
        <w:t xml:space="preserve"> </w:t>
      </w:r>
      <w:r>
        <w:rPr>
          <w:sz w:val="20"/>
        </w:rPr>
        <w:t>assessment.</w:t>
      </w:r>
    </w:p>
    <w:p w:rsidR="00592988" w:rsidRDefault="0011787E">
      <w:pPr>
        <w:pStyle w:val="ListParagraph"/>
        <w:numPr>
          <w:ilvl w:val="0"/>
          <w:numId w:val="5"/>
        </w:numPr>
        <w:tabs>
          <w:tab w:val="left" w:pos="323"/>
        </w:tabs>
        <w:spacing w:before="159" w:line="249" w:lineRule="auto"/>
        <w:ind w:right="826" w:firstLine="0"/>
        <w:rPr>
          <w:sz w:val="20"/>
        </w:rPr>
      </w:pPr>
      <w:r>
        <w:rPr>
          <w:sz w:val="20"/>
        </w:rPr>
        <w:t>For the marking period of 15 working days, a note has been added that interim examinations must be marked at least five days before the following examination/interim examination (Article</w:t>
      </w:r>
      <w:r>
        <w:rPr>
          <w:spacing w:val="-19"/>
          <w:sz w:val="20"/>
        </w:rPr>
        <w:t xml:space="preserve"> </w:t>
      </w:r>
      <w:r>
        <w:rPr>
          <w:sz w:val="20"/>
        </w:rPr>
        <w:t>19.1)</w:t>
      </w:r>
    </w:p>
    <w:p w:rsidR="00592988" w:rsidRDefault="0011787E">
      <w:pPr>
        <w:pStyle w:val="ListParagraph"/>
        <w:numPr>
          <w:ilvl w:val="0"/>
          <w:numId w:val="5"/>
        </w:numPr>
        <w:tabs>
          <w:tab w:val="left" w:pos="323"/>
        </w:tabs>
        <w:spacing w:before="165" w:line="252" w:lineRule="auto"/>
        <w:ind w:right="428" w:firstLine="0"/>
        <w:rPr>
          <w:sz w:val="20"/>
        </w:rPr>
      </w:pPr>
      <w:r>
        <w:rPr>
          <w:sz w:val="20"/>
        </w:rPr>
        <w:t>The</w:t>
      </w:r>
      <w:r>
        <w:rPr>
          <w:spacing w:val="-4"/>
          <w:sz w:val="20"/>
        </w:rPr>
        <w:t xml:space="preserve"> </w:t>
      </w:r>
      <w:r>
        <w:rPr>
          <w:sz w:val="20"/>
        </w:rPr>
        <w:t>provision</w:t>
      </w:r>
      <w:r>
        <w:rPr>
          <w:spacing w:val="-4"/>
          <w:sz w:val="20"/>
        </w:rPr>
        <w:t xml:space="preserve"> </w:t>
      </w:r>
      <w:r>
        <w:rPr>
          <w:sz w:val="20"/>
        </w:rPr>
        <w:t>concerning</w:t>
      </w:r>
      <w:r>
        <w:rPr>
          <w:spacing w:val="-2"/>
          <w:sz w:val="20"/>
        </w:rPr>
        <w:t xml:space="preserve"> </w:t>
      </w:r>
      <w:r>
        <w:rPr>
          <w:sz w:val="20"/>
        </w:rPr>
        <w:t>the</w:t>
      </w:r>
      <w:r>
        <w:rPr>
          <w:spacing w:val="-3"/>
          <w:sz w:val="20"/>
        </w:rPr>
        <w:t xml:space="preserve"> </w:t>
      </w:r>
      <w:r>
        <w:rPr>
          <w:sz w:val="20"/>
        </w:rPr>
        <w:t>period</w:t>
      </w:r>
      <w:r>
        <w:rPr>
          <w:spacing w:val="-4"/>
          <w:sz w:val="20"/>
        </w:rPr>
        <w:t xml:space="preserve"> </w:t>
      </w:r>
      <w:r>
        <w:rPr>
          <w:sz w:val="20"/>
        </w:rPr>
        <w:t>of</w:t>
      </w:r>
      <w:r>
        <w:rPr>
          <w:spacing w:val="-2"/>
          <w:sz w:val="20"/>
        </w:rPr>
        <w:t xml:space="preserve"> </w:t>
      </w:r>
      <w:r>
        <w:rPr>
          <w:sz w:val="20"/>
        </w:rPr>
        <w:t>validity</w:t>
      </w:r>
      <w:r>
        <w:rPr>
          <w:spacing w:val="-5"/>
          <w:sz w:val="20"/>
        </w:rPr>
        <w:t xml:space="preserve"> </w:t>
      </w:r>
      <w:r>
        <w:rPr>
          <w:sz w:val="20"/>
        </w:rPr>
        <w:t>of</w:t>
      </w:r>
      <w:r>
        <w:rPr>
          <w:spacing w:val="-1"/>
          <w:sz w:val="20"/>
        </w:rPr>
        <w:t xml:space="preserve"> </w:t>
      </w:r>
      <w:r>
        <w:rPr>
          <w:sz w:val="20"/>
        </w:rPr>
        <w:t>examinations</w:t>
      </w:r>
      <w:r>
        <w:rPr>
          <w:spacing w:val="-3"/>
          <w:sz w:val="20"/>
        </w:rPr>
        <w:t xml:space="preserve"> </w:t>
      </w:r>
      <w:r>
        <w:rPr>
          <w:sz w:val="20"/>
        </w:rPr>
        <w:t>has</w:t>
      </w:r>
      <w:r>
        <w:rPr>
          <w:spacing w:val="-3"/>
          <w:sz w:val="20"/>
        </w:rPr>
        <w:t xml:space="preserve"> </w:t>
      </w:r>
      <w:r>
        <w:rPr>
          <w:sz w:val="20"/>
        </w:rPr>
        <w:t>been</w:t>
      </w:r>
      <w:r>
        <w:rPr>
          <w:spacing w:val="-4"/>
          <w:sz w:val="20"/>
        </w:rPr>
        <w:t xml:space="preserve"> </w:t>
      </w:r>
      <w:r>
        <w:rPr>
          <w:sz w:val="20"/>
        </w:rPr>
        <w:t>amended</w:t>
      </w:r>
      <w:r>
        <w:rPr>
          <w:spacing w:val="-3"/>
          <w:sz w:val="20"/>
        </w:rPr>
        <w:t xml:space="preserve"> </w:t>
      </w:r>
      <w:r>
        <w:rPr>
          <w:sz w:val="20"/>
        </w:rPr>
        <w:t>in</w:t>
      </w:r>
      <w:r>
        <w:rPr>
          <w:spacing w:val="-4"/>
          <w:sz w:val="20"/>
        </w:rPr>
        <w:t xml:space="preserve"> </w:t>
      </w:r>
      <w:r>
        <w:rPr>
          <w:sz w:val="20"/>
        </w:rPr>
        <w:t>accordance</w:t>
      </w:r>
      <w:r>
        <w:rPr>
          <w:spacing w:val="-2"/>
          <w:sz w:val="20"/>
        </w:rPr>
        <w:t xml:space="preserve"> </w:t>
      </w:r>
      <w:r>
        <w:rPr>
          <w:sz w:val="20"/>
        </w:rPr>
        <w:t>with</w:t>
      </w:r>
      <w:r>
        <w:rPr>
          <w:spacing w:val="-4"/>
          <w:sz w:val="20"/>
        </w:rPr>
        <w:t xml:space="preserve"> </w:t>
      </w:r>
      <w:r>
        <w:rPr>
          <w:sz w:val="20"/>
        </w:rPr>
        <w:t>the new legislation of 1 January 2018 on this point: the period of validity of a mark is unlimited unless the knowledge examined has become demonstrably obsolete (Article</w:t>
      </w:r>
      <w:r>
        <w:rPr>
          <w:spacing w:val="-8"/>
          <w:sz w:val="20"/>
        </w:rPr>
        <w:t xml:space="preserve"> </w:t>
      </w:r>
      <w:r>
        <w:rPr>
          <w:sz w:val="20"/>
        </w:rPr>
        <w:t>22.1).</w:t>
      </w:r>
    </w:p>
    <w:p w:rsidR="00592988" w:rsidRDefault="00592988">
      <w:pPr>
        <w:spacing w:line="252" w:lineRule="auto"/>
        <w:rPr>
          <w:sz w:val="20"/>
        </w:rPr>
        <w:sectPr w:rsidR="00592988">
          <w:pgSz w:w="11910" w:h="16840"/>
          <w:pgMar w:top="1340" w:right="940" w:bottom="920" w:left="880" w:header="0" w:footer="732" w:gutter="0"/>
          <w:cols w:space="708"/>
        </w:sectPr>
      </w:pPr>
    </w:p>
    <w:p w:rsidR="00592988" w:rsidRDefault="0011787E">
      <w:pPr>
        <w:pStyle w:val="ListParagraph"/>
        <w:numPr>
          <w:ilvl w:val="0"/>
          <w:numId w:val="5"/>
        </w:numPr>
        <w:tabs>
          <w:tab w:val="left" w:pos="323"/>
        </w:tabs>
        <w:spacing w:before="81" w:line="252" w:lineRule="auto"/>
        <w:ind w:left="199" w:right="386" w:firstLine="0"/>
        <w:rPr>
          <w:sz w:val="20"/>
        </w:rPr>
      </w:pPr>
      <w:r>
        <w:rPr>
          <w:sz w:val="20"/>
        </w:rPr>
        <w:lastRenderedPageBreak/>
        <w:t>If</w:t>
      </w:r>
      <w:r>
        <w:rPr>
          <w:spacing w:val="-3"/>
          <w:sz w:val="20"/>
        </w:rPr>
        <w:t xml:space="preserve"> </w:t>
      </w:r>
      <w:r>
        <w:rPr>
          <w:sz w:val="20"/>
        </w:rPr>
        <w:t>a</w:t>
      </w:r>
      <w:r>
        <w:rPr>
          <w:spacing w:val="-4"/>
          <w:sz w:val="20"/>
        </w:rPr>
        <w:t xml:space="preserve"> </w:t>
      </w:r>
      <w:r>
        <w:rPr>
          <w:sz w:val="20"/>
        </w:rPr>
        <w:t>course</w:t>
      </w:r>
      <w:r>
        <w:rPr>
          <w:spacing w:val="-5"/>
          <w:sz w:val="20"/>
        </w:rPr>
        <w:t xml:space="preserve"> </w:t>
      </w:r>
      <w:r>
        <w:rPr>
          <w:sz w:val="20"/>
        </w:rPr>
        <w:t>comprises</w:t>
      </w:r>
      <w:r>
        <w:rPr>
          <w:spacing w:val="-2"/>
          <w:sz w:val="20"/>
        </w:rPr>
        <w:t xml:space="preserve"> </w:t>
      </w:r>
      <w:r>
        <w:rPr>
          <w:sz w:val="20"/>
        </w:rPr>
        <w:t>of</w:t>
      </w:r>
      <w:r>
        <w:rPr>
          <w:spacing w:val="-3"/>
          <w:sz w:val="20"/>
        </w:rPr>
        <w:t xml:space="preserve"> </w:t>
      </w:r>
      <w:r>
        <w:rPr>
          <w:sz w:val="20"/>
        </w:rPr>
        <w:t>interim</w:t>
      </w:r>
      <w:r>
        <w:rPr>
          <w:spacing w:val="1"/>
          <w:sz w:val="20"/>
        </w:rPr>
        <w:t xml:space="preserve"> </w:t>
      </w:r>
      <w:r>
        <w:rPr>
          <w:sz w:val="20"/>
        </w:rPr>
        <w:t>examinations,</w:t>
      </w:r>
      <w:r>
        <w:rPr>
          <w:spacing w:val="-5"/>
          <w:sz w:val="20"/>
        </w:rPr>
        <w:t xml:space="preserve"> </w:t>
      </w:r>
      <w:r>
        <w:rPr>
          <w:sz w:val="20"/>
        </w:rPr>
        <w:t>the</w:t>
      </w:r>
      <w:r>
        <w:rPr>
          <w:spacing w:val="-4"/>
          <w:sz w:val="20"/>
        </w:rPr>
        <w:t xml:space="preserve"> </w:t>
      </w:r>
      <w:r>
        <w:rPr>
          <w:sz w:val="20"/>
        </w:rPr>
        <w:t>period</w:t>
      </w:r>
      <w:r>
        <w:rPr>
          <w:spacing w:val="-3"/>
          <w:sz w:val="20"/>
        </w:rPr>
        <w:t xml:space="preserve"> </w:t>
      </w:r>
      <w:r>
        <w:rPr>
          <w:sz w:val="20"/>
        </w:rPr>
        <w:t>of</w:t>
      </w:r>
      <w:r>
        <w:rPr>
          <w:spacing w:val="-2"/>
          <w:sz w:val="20"/>
        </w:rPr>
        <w:t xml:space="preserve"> </w:t>
      </w:r>
      <w:r>
        <w:rPr>
          <w:sz w:val="20"/>
        </w:rPr>
        <w:t>validity</w:t>
      </w:r>
      <w:r>
        <w:rPr>
          <w:spacing w:val="-7"/>
          <w:sz w:val="20"/>
        </w:rPr>
        <w:t xml:space="preserve"> </w:t>
      </w:r>
      <w:r>
        <w:rPr>
          <w:sz w:val="20"/>
        </w:rPr>
        <w:t>of</w:t>
      </w:r>
      <w:r>
        <w:rPr>
          <w:spacing w:val="-3"/>
          <w:sz w:val="20"/>
        </w:rPr>
        <w:t xml:space="preserve"> </w:t>
      </w:r>
      <w:r>
        <w:rPr>
          <w:sz w:val="20"/>
        </w:rPr>
        <w:t>the</w:t>
      </w:r>
      <w:r>
        <w:rPr>
          <w:spacing w:val="-4"/>
          <w:sz w:val="20"/>
        </w:rPr>
        <w:t xml:space="preserve"> </w:t>
      </w:r>
      <w:r>
        <w:rPr>
          <w:sz w:val="20"/>
        </w:rPr>
        <w:t>interim examination</w:t>
      </w:r>
      <w:r>
        <w:rPr>
          <w:spacing w:val="-4"/>
          <w:sz w:val="20"/>
        </w:rPr>
        <w:t xml:space="preserve"> </w:t>
      </w:r>
      <w:r>
        <w:rPr>
          <w:sz w:val="20"/>
        </w:rPr>
        <w:t>for</w:t>
      </w:r>
      <w:r>
        <w:rPr>
          <w:spacing w:val="-2"/>
          <w:sz w:val="20"/>
        </w:rPr>
        <w:t xml:space="preserve"> </w:t>
      </w:r>
      <w:r>
        <w:rPr>
          <w:sz w:val="20"/>
        </w:rPr>
        <w:t>which</w:t>
      </w:r>
      <w:r>
        <w:rPr>
          <w:spacing w:val="-4"/>
          <w:sz w:val="20"/>
        </w:rPr>
        <w:t xml:space="preserve"> </w:t>
      </w:r>
      <w:r>
        <w:rPr>
          <w:sz w:val="20"/>
        </w:rPr>
        <w:t>no credits are assigned in Osiris is limited to the current academic year. (Article</w:t>
      </w:r>
      <w:r>
        <w:rPr>
          <w:spacing w:val="-11"/>
          <w:sz w:val="20"/>
        </w:rPr>
        <w:t xml:space="preserve"> </w:t>
      </w:r>
      <w:r>
        <w:rPr>
          <w:sz w:val="20"/>
        </w:rPr>
        <w:t>22.4)</w:t>
      </w:r>
    </w:p>
    <w:p w:rsidR="00592988" w:rsidRDefault="00592988">
      <w:pPr>
        <w:pStyle w:val="BodyText"/>
        <w:spacing w:before="9"/>
      </w:pPr>
    </w:p>
    <w:p w:rsidR="00592988" w:rsidRDefault="0011787E">
      <w:pPr>
        <w:pStyle w:val="ListParagraph"/>
        <w:numPr>
          <w:ilvl w:val="0"/>
          <w:numId w:val="5"/>
        </w:numPr>
        <w:tabs>
          <w:tab w:val="left" w:pos="322"/>
        </w:tabs>
        <w:spacing w:before="1" w:line="249" w:lineRule="auto"/>
        <w:ind w:left="199" w:right="558" w:firstLine="0"/>
        <w:rPr>
          <w:sz w:val="20"/>
        </w:rPr>
      </w:pPr>
      <w:r>
        <w:rPr>
          <w:sz w:val="20"/>
        </w:rPr>
        <w:t>A number of other mandatory (new) components stated in Article 7.13 paragraph 2 of the WHW (Law on Higher education and research) have been included in the current OER, these</w:t>
      </w:r>
      <w:r>
        <w:rPr>
          <w:spacing w:val="-9"/>
          <w:sz w:val="20"/>
        </w:rPr>
        <w:t xml:space="preserve"> </w:t>
      </w:r>
      <w:r>
        <w:rPr>
          <w:sz w:val="20"/>
        </w:rPr>
        <w:t>are:</w:t>
      </w:r>
    </w:p>
    <w:p w:rsidR="00592988" w:rsidRDefault="0011787E">
      <w:pPr>
        <w:pStyle w:val="ListParagraph"/>
        <w:numPr>
          <w:ilvl w:val="1"/>
          <w:numId w:val="5"/>
        </w:numPr>
        <w:tabs>
          <w:tab w:val="left" w:pos="1141"/>
        </w:tabs>
        <w:spacing w:before="164"/>
        <w:rPr>
          <w:sz w:val="20"/>
        </w:rPr>
      </w:pPr>
      <w:r>
        <w:rPr>
          <w:sz w:val="20"/>
        </w:rPr>
        <w:t>Article 6 with the tracks of the Master's</w:t>
      </w:r>
      <w:r>
        <w:rPr>
          <w:spacing w:val="-2"/>
          <w:sz w:val="20"/>
        </w:rPr>
        <w:t xml:space="preserve"> </w:t>
      </w:r>
      <w:r>
        <w:rPr>
          <w:sz w:val="20"/>
        </w:rPr>
        <w:t>programme.</w:t>
      </w:r>
    </w:p>
    <w:p w:rsidR="00592988" w:rsidRDefault="0011787E">
      <w:pPr>
        <w:pStyle w:val="ListParagraph"/>
        <w:numPr>
          <w:ilvl w:val="1"/>
          <w:numId w:val="5"/>
        </w:numPr>
        <w:tabs>
          <w:tab w:val="left" w:pos="1141"/>
        </w:tabs>
        <w:spacing w:before="13" w:line="249" w:lineRule="auto"/>
        <w:ind w:left="919" w:right="353" w:firstLine="0"/>
        <w:rPr>
          <w:sz w:val="20"/>
        </w:rPr>
      </w:pPr>
      <w:r>
        <w:rPr>
          <w:sz w:val="20"/>
        </w:rPr>
        <w:t>Article 11 that deals with compulsory participation. This applies to the student's obligation to actively</w:t>
      </w:r>
      <w:r>
        <w:rPr>
          <w:spacing w:val="-7"/>
          <w:sz w:val="20"/>
        </w:rPr>
        <w:t xml:space="preserve"> </w:t>
      </w:r>
      <w:r>
        <w:rPr>
          <w:sz w:val="20"/>
        </w:rPr>
        <w:t>participate</w:t>
      </w:r>
      <w:r>
        <w:rPr>
          <w:spacing w:val="-4"/>
          <w:sz w:val="20"/>
        </w:rPr>
        <w:t xml:space="preserve"> </w:t>
      </w:r>
      <w:r>
        <w:rPr>
          <w:sz w:val="20"/>
        </w:rPr>
        <w:t>in</w:t>
      </w:r>
      <w:r>
        <w:rPr>
          <w:spacing w:val="-3"/>
          <w:sz w:val="20"/>
        </w:rPr>
        <w:t xml:space="preserve"> </w:t>
      </w:r>
      <w:r>
        <w:rPr>
          <w:sz w:val="20"/>
        </w:rPr>
        <w:t>practical</w:t>
      </w:r>
      <w:r>
        <w:rPr>
          <w:spacing w:val="-5"/>
          <w:sz w:val="20"/>
        </w:rPr>
        <w:t xml:space="preserve"> </w:t>
      </w:r>
      <w:r>
        <w:rPr>
          <w:sz w:val="20"/>
        </w:rPr>
        <w:t>exercises with</w:t>
      </w:r>
      <w:r>
        <w:rPr>
          <w:spacing w:val="-1"/>
          <w:sz w:val="20"/>
        </w:rPr>
        <w:t xml:space="preserve"> </w:t>
      </w:r>
      <w:r>
        <w:rPr>
          <w:sz w:val="20"/>
        </w:rPr>
        <w:t>a</w:t>
      </w:r>
      <w:r>
        <w:rPr>
          <w:spacing w:val="-4"/>
          <w:sz w:val="20"/>
        </w:rPr>
        <w:t xml:space="preserve"> </w:t>
      </w:r>
      <w:r>
        <w:rPr>
          <w:sz w:val="20"/>
        </w:rPr>
        <w:t>view</w:t>
      </w:r>
      <w:r>
        <w:rPr>
          <w:spacing w:val="-4"/>
          <w:sz w:val="20"/>
        </w:rPr>
        <w:t xml:space="preserve"> </w:t>
      </w:r>
      <w:r>
        <w:rPr>
          <w:sz w:val="20"/>
        </w:rPr>
        <w:t>to</w:t>
      </w:r>
      <w:r>
        <w:rPr>
          <w:spacing w:val="-1"/>
          <w:sz w:val="20"/>
        </w:rPr>
        <w:t xml:space="preserve"> </w:t>
      </w:r>
      <w:r>
        <w:rPr>
          <w:sz w:val="20"/>
        </w:rPr>
        <w:t>admission</w:t>
      </w:r>
      <w:r>
        <w:rPr>
          <w:spacing w:val="-4"/>
          <w:sz w:val="20"/>
        </w:rPr>
        <w:t xml:space="preserve"> </w:t>
      </w:r>
      <w:r>
        <w:rPr>
          <w:sz w:val="20"/>
        </w:rPr>
        <w:t>to</w:t>
      </w:r>
      <w:r>
        <w:rPr>
          <w:spacing w:val="-4"/>
          <w:sz w:val="20"/>
        </w:rPr>
        <w:t xml:space="preserve"> </w:t>
      </w:r>
      <w:r>
        <w:rPr>
          <w:sz w:val="20"/>
        </w:rPr>
        <w:t>take</w:t>
      </w:r>
      <w:r>
        <w:rPr>
          <w:spacing w:val="-3"/>
          <w:sz w:val="20"/>
        </w:rPr>
        <w:t xml:space="preserve"> </w:t>
      </w:r>
      <w:r>
        <w:rPr>
          <w:sz w:val="20"/>
        </w:rPr>
        <w:t>the</w:t>
      </w:r>
      <w:r>
        <w:rPr>
          <w:spacing w:val="-4"/>
          <w:sz w:val="20"/>
        </w:rPr>
        <w:t xml:space="preserve"> </w:t>
      </w:r>
      <w:r>
        <w:rPr>
          <w:sz w:val="20"/>
        </w:rPr>
        <w:t>relevant</w:t>
      </w:r>
      <w:r>
        <w:rPr>
          <w:spacing w:val="-3"/>
          <w:sz w:val="20"/>
        </w:rPr>
        <w:t xml:space="preserve"> </w:t>
      </w:r>
      <w:r>
        <w:rPr>
          <w:sz w:val="20"/>
        </w:rPr>
        <w:t>examinations.</w:t>
      </w:r>
    </w:p>
    <w:p w:rsidR="00592988" w:rsidRDefault="0011787E">
      <w:pPr>
        <w:pStyle w:val="ListParagraph"/>
        <w:numPr>
          <w:ilvl w:val="1"/>
          <w:numId w:val="5"/>
        </w:numPr>
        <w:tabs>
          <w:tab w:val="left" w:pos="1131"/>
        </w:tabs>
        <w:spacing w:before="4" w:line="252" w:lineRule="auto"/>
        <w:ind w:left="919" w:right="311" w:firstLine="0"/>
        <w:rPr>
          <w:sz w:val="20"/>
        </w:rPr>
      </w:pPr>
      <w:r>
        <w:rPr>
          <w:sz w:val="20"/>
        </w:rPr>
        <w:t>Article 26 concerning safeguarding academic progress and individual study support. The article describes the programme's obligation to ensure good study support and proper registration of marks in</w:t>
      </w:r>
      <w:r>
        <w:rPr>
          <w:spacing w:val="-2"/>
          <w:sz w:val="20"/>
        </w:rPr>
        <w:t xml:space="preserve"> </w:t>
      </w:r>
      <w:r>
        <w:rPr>
          <w:sz w:val="20"/>
        </w:rPr>
        <w:t>OSIRIS.</w:t>
      </w:r>
    </w:p>
    <w:p w:rsidR="00592988" w:rsidRDefault="00592988">
      <w:pPr>
        <w:pStyle w:val="BodyText"/>
        <w:rPr>
          <w:sz w:val="22"/>
        </w:rPr>
      </w:pPr>
    </w:p>
    <w:p w:rsidR="00592988" w:rsidRDefault="0011787E">
      <w:pPr>
        <w:pStyle w:val="Heading2"/>
        <w:spacing w:before="146"/>
      </w:pPr>
      <w:bookmarkStart w:id="13" w:name="Amendments_to_the_RGBE_(RRvE)_compared_t"/>
      <w:bookmarkEnd w:id="13"/>
      <w:r>
        <w:t>Amendments to the RGBE (RRvE) compared to 2017-2018</w:t>
      </w:r>
    </w:p>
    <w:p w:rsidR="00592988" w:rsidRDefault="0011787E">
      <w:pPr>
        <w:pStyle w:val="BodyText"/>
        <w:spacing w:before="16" w:line="247" w:lineRule="auto"/>
        <w:ind w:left="200" w:right="154"/>
      </w:pPr>
      <w:r>
        <w:t xml:space="preserve">The RRvE was established by the 3mE Board of Examiners. The </w:t>
      </w:r>
      <w:r>
        <w:rPr>
          <w:u w:val="single"/>
        </w:rPr>
        <w:t>most important content-related amendments</w:t>
      </w:r>
      <w:r>
        <w:t xml:space="preserve"> </w:t>
      </w:r>
      <w:r>
        <w:rPr>
          <w:u w:val="single"/>
        </w:rPr>
        <w:t>to the RRvE</w:t>
      </w:r>
      <w:r>
        <w:t xml:space="preserve"> are:</w:t>
      </w:r>
    </w:p>
    <w:p w:rsidR="00592988" w:rsidRDefault="0011787E">
      <w:pPr>
        <w:pStyle w:val="ListParagraph"/>
        <w:numPr>
          <w:ilvl w:val="0"/>
          <w:numId w:val="4"/>
        </w:numPr>
        <w:tabs>
          <w:tab w:val="left" w:pos="919"/>
          <w:tab w:val="left" w:pos="920"/>
        </w:tabs>
        <w:spacing w:before="177" w:line="230" w:lineRule="auto"/>
        <w:ind w:right="274" w:hanging="359"/>
        <w:rPr>
          <w:sz w:val="20"/>
        </w:rPr>
      </w:pPr>
      <w:r>
        <w:rPr>
          <w:sz w:val="20"/>
        </w:rPr>
        <w:t>Article 14.5 is new and states that under exceptional circumstances the Board of Examiners is authorised</w:t>
      </w:r>
      <w:r>
        <w:rPr>
          <w:spacing w:val="-5"/>
          <w:sz w:val="20"/>
        </w:rPr>
        <w:t xml:space="preserve"> </w:t>
      </w:r>
      <w:r>
        <w:rPr>
          <w:sz w:val="20"/>
        </w:rPr>
        <w:t>to</w:t>
      </w:r>
      <w:r>
        <w:rPr>
          <w:spacing w:val="-4"/>
          <w:sz w:val="20"/>
        </w:rPr>
        <w:t xml:space="preserve"> </w:t>
      </w:r>
      <w:r>
        <w:rPr>
          <w:sz w:val="20"/>
        </w:rPr>
        <w:t>declare</w:t>
      </w:r>
      <w:r>
        <w:rPr>
          <w:spacing w:val="-2"/>
          <w:sz w:val="20"/>
        </w:rPr>
        <w:t xml:space="preserve"> </w:t>
      </w:r>
      <w:r>
        <w:rPr>
          <w:sz w:val="20"/>
        </w:rPr>
        <w:t>the</w:t>
      </w:r>
      <w:r>
        <w:rPr>
          <w:spacing w:val="-2"/>
          <w:sz w:val="20"/>
        </w:rPr>
        <w:t xml:space="preserve"> </w:t>
      </w:r>
      <w:r>
        <w:rPr>
          <w:sz w:val="20"/>
        </w:rPr>
        <w:t>results</w:t>
      </w:r>
      <w:r>
        <w:rPr>
          <w:spacing w:val="-3"/>
          <w:sz w:val="20"/>
        </w:rPr>
        <w:t xml:space="preserve"> </w:t>
      </w:r>
      <w:r>
        <w:rPr>
          <w:sz w:val="20"/>
        </w:rPr>
        <w:t>of</w:t>
      </w:r>
      <w:r>
        <w:rPr>
          <w:spacing w:val="-2"/>
          <w:sz w:val="20"/>
        </w:rPr>
        <w:t xml:space="preserve"> </w:t>
      </w:r>
      <w:r>
        <w:rPr>
          <w:sz w:val="20"/>
        </w:rPr>
        <w:t>an</w:t>
      </w:r>
      <w:r>
        <w:rPr>
          <w:spacing w:val="-5"/>
          <w:sz w:val="20"/>
        </w:rPr>
        <w:t xml:space="preserve"> </w:t>
      </w:r>
      <w:r>
        <w:rPr>
          <w:sz w:val="20"/>
        </w:rPr>
        <w:t>examination</w:t>
      </w:r>
      <w:r>
        <w:rPr>
          <w:spacing w:val="-2"/>
          <w:sz w:val="20"/>
        </w:rPr>
        <w:t xml:space="preserve"> </w:t>
      </w:r>
      <w:r>
        <w:rPr>
          <w:sz w:val="20"/>
        </w:rPr>
        <w:t>or</w:t>
      </w:r>
      <w:r>
        <w:rPr>
          <w:spacing w:val="-3"/>
          <w:sz w:val="20"/>
        </w:rPr>
        <w:t xml:space="preserve"> </w:t>
      </w:r>
      <w:r>
        <w:rPr>
          <w:sz w:val="20"/>
        </w:rPr>
        <w:t>practical</w:t>
      </w:r>
      <w:r>
        <w:rPr>
          <w:spacing w:val="-5"/>
          <w:sz w:val="20"/>
        </w:rPr>
        <w:t xml:space="preserve"> </w:t>
      </w:r>
      <w:r>
        <w:rPr>
          <w:sz w:val="20"/>
        </w:rPr>
        <w:t>assignment</w:t>
      </w:r>
      <w:r>
        <w:rPr>
          <w:spacing w:val="-4"/>
          <w:sz w:val="20"/>
        </w:rPr>
        <w:t xml:space="preserve"> </w:t>
      </w:r>
      <w:r>
        <w:rPr>
          <w:sz w:val="20"/>
        </w:rPr>
        <w:t>invalid</w:t>
      </w:r>
      <w:r>
        <w:rPr>
          <w:spacing w:val="-4"/>
          <w:sz w:val="20"/>
        </w:rPr>
        <w:t xml:space="preserve"> </w:t>
      </w:r>
      <w:r>
        <w:rPr>
          <w:sz w:val="20"/>
        </w:rPr>
        <w:t>for</w:t>
      </w:r>
      <w:r>
        <w:rPr>
          <w:spacing w:val="-3"/>
          <w:sz w:val="20"/>
        </w:rPr>
        <w:t xml:space="preserve"> </w:t>
      </w:r>
      <w:r>
        <w:rPr>
          <w:sz w:val="20"/>
        </w:rPr>
        <w:t>all</w:t>
      </w:r>
      <w:r>
        <w:rPr>
          <w:spacing w:val="-5"/>
          <w:sz w:val="20"/>
        </w:rPr>
        <w:t xml:space="preserve"> </w:t>
      </w:r>
      <w:r>
        <w:rPr>
          <w:sz w:val="20"/>
        </w:rPr>
        <w:t>participants.</w:t>
      </w:r>
    </w:p>
    <w:p w:rsidR="00592988" w:rsidRDefault="0011787E">
      <w:pPr>
        <w:pStyle w:val="ListParagraph"/>
        <w:numPr>
          <w:ilvl w:val="0"/>
          <w:numId w:val="4"/>
        </w:numPr>
        <w:tabs>
          <w:tab w:val="left" w:pos="919"/>
          <w:tab w:val="left" w:pos="920"/>
        </w:tabs>
        <w:spacing w:before="6" w:line="230" w:lineRule="auto"/>
        <w:ind w:right="1150" w:hanging="359"/>
        <w:rPr>
          <w:sz w:val="20"/>
        </w:rPr>
      </w:pPr>
      <w:r>
        <w:rPr>
          <w:sz w:val="20"/>
        </w:rPr>
        <w:t>In</w:t>
      </w:r>
      <w:r>
        <w:rPr>
          <w:spacing w:val="-4"/>
          <w:sz w:val="20"/>
        </w:rPr>
        <w:t xml:space="preserve"> </w:t>
      </w:r>
      <w:r>
        <w:rPr>
          <w:sz w:val="20"/>
        </w:rPr>
        <w:t>Article</w:t>
      </w:r>
      <w:r>
        <w:rPr>
          <w:spacing w:val="-2"/>
          <w:sz w:val="20"/>
        </w:rPr>
        <w:t xml:space="preserve"> </w:t>
      </w:r>
      <w:r>
        <w:rPr>
          <w:sz w:val="20"/>
        </w:rPr>
        <w:t>16.7</w:t>
      </w:r>
      <w:r>
        <w:rPr>
          <w:spacing w:val="-3"/>
          <w:sz w:val="20"/>
        </w:rPr>
        <w:t xml:space="preserve"> </w:t>
      </w:r>
      <w:r>
        <w:rPr>
          <w:sz w:val="20"/>
        </w:rPr>
        <w:t>(BSc)/16.8</w:t>
      </w:r>
      <w:r>
        <w:rPr>
          <w:spacing w:val="-2"/>
          <w:sz w:val="20"/>
        </w:rPr>
        <w:t xml:space="preserve"> </w:t>
      </w:r>
      <w:r>
        <w:rPr>
          <w:sz w:val="20"/>
        </w:rPr>
        <w:t>(MSc),</w:t>
      </w:r>
      <w:r>
        <w:rPr>
          <w:spacing w:val="-4"/>
          <w:sz w:val="20"/>
        </w:rPr>
        <w:t xml:space="preserve"> </w:t>
      </w:r>
      <w:r>
        <w:rPr>
          <w:sz w:val="20"/>
        </w:rPr>
        <w:t>more</w:t>
      </w:r>
      <w:r>
        <w:rPr>
          <w:spacing w:val="-3"/>
          <w:sz w:val="20"/>
        </w:rPr>
        <w:t xml:space="preserve"> </w:t>
      </w:r>
      <w:r>
        <w:rPr>
          <w:sz w:val="20"/>
        </w:rPr>
        <w:t>types</w:t>
      </w:r>
      <w:r>
        <w:rPr>
          <w:spacing w:val="-3"/>
          <w:sz w:val="20"/>
        </w:rPr>
        <w:t xml:space="preserve"> </w:t>
      </w:r>
      <w:r>
        <w:rPr>
          <w:sz w:val="20"/>
        </w:rPr>
        <w:t>of</w:t>
      </w:r>
      <w:r>
        <w:rPr>
          <w:spacing w:val="-2"/>
          <w:sz w:val="20"/>
        </w:rPr>
        <w:t xml:space="preserve"> </w:t>
      </w:r>
      <w:r>
        <w:rPr>
          <w:i/>
          <w:sz w:val="20"/>
        </w:rPr>
        <w:t xml:space="preserve">simple </w:t>
      </w:r>
      <w:r>
        <w:rPr>
          <w:sz w:val="20"/>
        </w:rPr>
        <w:t>calculators</w:t>
      </w:r>
      <w:r>
        <w:rPr>
          <w:spacing w:val="-3"/>
          <w:sz w:val="20"/>
        </w:rPr>
        <w:t xml:space="preserve"> </w:t>
      </w:r>
      <w:r>
        <w:rPr>
          <w:spacing w:val="2"/>
          <w:sz w:val="20"/>
        </w:rPr>
        <w:t>may</w:t>
      </w:r>
      <w:r>
        <w:rPr>
          <w:spacing w:val="-6"/>
          <w:sz w:val="20"/>
        </w:rPr>
        <w:t xml:space="preserve"> </w:t>
      </w:r>
      <w:r>
        <w:rPr>
          <w:sz w:val="20"/>
        </w:rPr>
        <w:t>now</w:t>
      </w:r>
      <w:r>
        <w:rPr>
          <w:spacing w:val="-4"/>
          <w:sz w:val="20"/>
        </w:rPr>
        <w:t xml:space="preserve"> </w:t>
      </w:r>
      <w:r>
        <w:rPr>
          <w:sz w:val="20"/>
        </w:rPr>
        <w:t>be</w:t>
      </w:r>
      <w:r>
        <w:rPr>
          <w:spacing w:val="-4"/>
          <w:sz w:val="20"/>
        </w:rPr>
        <w:t xml:space="preserve"> </w:t>
      </w:r>
      <w:r>
        <w:rPr>
          <w:sz w:val="20"/>
        </w:rPr>
        <w:t>used</w:t>
      </w:r>
      <w:r>
        <w:rPr>
          <w:spacing w:val="-3"/>
          <w:sz w:val="20"/>
        </w:rPr>
        <w:t xml:space="preserve"> </w:t>
      </w:r>
      <w:r>
        <w:rPr>
          <w:sz w:val="20"/>
        </w:rPr>
        <w:t>during examinations.</w:t>
      </w:r>
    </w:p>
    <w:p w:rsidR="00592988" w:rsidRDefault="0011787E">
      <w:pPr>
        <w:pStyle w:val="ListParagraph"/>
        <w:numPr>
          <w:ilvl w:val="0"/>
          <w:numId w:val="4"/>
        </w:numPr>
        <w:tabs>
          <w:tab w:val="left" w:pos="919"/>
          <w:tab w:val="left" w:pos="920"/>
        </w:tabs>
        <w:spacing w:before="8" w:line="230" w:lineRule="auto"/>
        <w:ind w:right="296" w:hanging="359"/>
        <w:rPr>
          <w:sz w:val="20"/>
        </w:rPr>
      </w:pPr>
      <w:r>
        <w:rPr>
          <w:sz w:val="20"/>
        </w:rPr>
        <w:t>From this</w:t>
      </w:r>
      <w:r>
        <w:rPr>
          <w:spacing w:val="-3"/>
          <w:sz w:val="20"/>
        </w:rPr>
        <w:t xml:space="preserve"> </w:t>
      </w:r>
      <w:r>
        <w:rPr>
          <w:sz w:val="20"/>
        </w:rPr>
        <w:t>academic year,</w:t>
      </w:r>
      <w:r>
        <w:rPr>
          <w:spacing w:val="-4"/>
          <w:sz w:val="20"/>
        </w:rPr>
        <w:t xml:space="preserve"> </w:t>
      </w:r>
      <w:r>
        <w:rPr>
          <w:sz w:val="20"/>
        </w:rPr>
        <w:t>an</w:t>
      </w:r>
      <w:r>
        <w:rPr>
          <w:spacing w:val="-4"/>
          <w:sz w:val="20"/>
        </w:rPr>
        <w:t xml:space="preserve"> </w:t>
      </w:r>
      <w:r>
        <w:rPr>
          <w:sz w:val="20"/>
        </w:rPr>
        <w:t>associate</w:t>
      </w:r>
      <w:r>
        <w:rPr>
          <w:spacing w:val="-4"/>
          <w:sz w:val="20"/>
        </w:rPr>
        <w:t xml:space="preserve"> </w:t>
      </w:r>
      <w:r>
        <w:rPr>
          <w:sz w:val="20"/>
        </w:rPr>
        <w:t>professor</w:t>
      </w:r>
      <w:r>
        <w:rPr>
          <w:spacing w:val="-3"/>
          <w:sz w:val="20"/>
        </w:rPr>
        <w:t xml:space="preserve"> </w:t>
      </w:r>
      <w:r>
        <w:rPr>
          <w:sz w:val="20"/>
        </w:rPr>
        <w:t>who</w:t>
      </w:r>
      <w:r>
        <w:rPr>
          <w:spacing w:val="-3"/>
          <w:sz w:val="20"/>
        </w:rPr>
        <w:t xml:space="preserve"> </w:t>
      </w:r>
      <w:r>
        <w:rPr>
          <w:sz w:val="20"/>
        </w:rPr>
        <w:t>has</w:t>
      </w:r>
      <w:r>
        <w:rPr>
          <w:spacing w:val="-3"/>
          <w:sz w:val="20"/>
        </w:rPr>
        <w:t xml:space="preserve"> </w:t>
      </w:r>
      <w:r>
        <w:rPr>
          <w:sz w:val="20"/>
        </w:rPr>
        <w:t>been</w:t>
      </w:r>
      <w:r>
        <w:rPr>
          <w:spacing w:val="-4"/>
          <w:sz w:val="20"/>
        </w:rPr>
        <w:t xml:space="preserve"> </w:t>
      </w:r>
      <w:r>
        <w:rPr>
          <w:sz w:val="20"/>
        </w:rPr>
        <w:t>granted</w:t>
      </w:r>
      <w:r>
        <w:rPr>
          <w:spacing w:val="-4"/>
          <w:sz w:val="20"/>
        </w:rPr>
        <w:t xml:space="preserve"> </w:t>
      </w:r>
      <w:r>
        <w:rPr>
          <w:sz w:val="20"/>
        </w:rPr>
        <w:t>‘ius</w:t>
      </w:r>
      <w:r>
        <w:rPr>
          <w:spacing w:val="-3"/>
          <w:sz w:val="20"/>
        </w:rPr>
        <w:t xml:space="preserve"> </w:t>
      </w:r>
      <w:r>
        <w:rPr>
          <w:sz w:val="20"/>
        </w:rPr>
        <w:t>promovendus’</w:t>
      </w:r>
      <w:r>
        <w:rPr>
          <w:spacing w:val="-5"/>
          <w:sz w:val="20"/>
        </w:rPr>
        <w:t xml:space="preserve"> </w:t>
      </w:r>
      <w:r>
        <w:rPr>
          <w:spacing w:val="2"/>
          <w:sz w:val="20"/>
        </w:rPr>
        <w:t>may</w:t>
      </w:r>
      <w:r>
        <w:rPr>
          <w:spacing w:val="-7"/>
          <w:sz w:val="20"/>
        </w:rPr>
        <w:t xml:space="preserve"> </w:t>
      </w:r>
      <w:r>
        <w:rPr>
          <w:sz w:val="20"/>
        </w:rPr>
        <w:t>also be chair of a thesis committee (Article 27 of the</w:t>
      </w:r>
      <w:r>
        <w:rPr>
          <w:spacing w:val="-2"/>
          <w:sz w:val="20"/>
        </w:rPr>
        <w:t xml:space="preserve"> </w:t>
      </w:r>
      <w:r>
        <w:rPr>
          <w:sz w:val="20"/>
        </w:rPr>
        <w:t>MSc).</w:t>
      </w:r>
    </w:p>
    <w:p w:rsidR="00592988" w:rsidRDefault="0011787E">
      <w:pPr>
        <w:pStyle w:val="ListParagraph"/>
        <w:numPr>
          <w:ilvl w:val="0"/>
          <w:numId w:val="4"/>
        </w:numPr>
        <w:tabs>
          <w:tab w:val="left" w:pos="919"/>
          <w:tab w:val="left" w:pos="920"/>
        </w:tabs>
        <w:spacing w:before="8" w:line="230" w:lineRule="auto"/>
        <w:ind w:right="908"/>
        <w:rPr>
          <w:sz w:val="20"/>
        </w:rPr>
      </w:pPr>
      <w:r>
        <w:rPr>
          <w:sz w:val="20"/>
        </w:rPr>
        <w:t xml:space="preserve">Article 30a on the free minor: courses passed before the start of the Bachelor's programme in question </w:t>
      </w:r>
      <w:r>
        <w:rPr>
          <w:spacing w:val="2"/>
          <w:sz w:val="20"/>
        </w:rPr>
        <w:t xml:space="preserve">may </w:t>
      </w:r>
      <w:r>
        <w:rPr>
          <w:sz w:val="20"/>
        </w:rPr>
        <w:t>not be a component of the free</w:t>
      </w:r>
      <w:r>
        <w:rPr>
          <w:spacing w:val="-14"/>
          <w:sz w:val="20"/>
        </w:rPr>
        <w:t xml:space="preserve"> </w:t>
      </w:r>
      <w:r>
        <w:rPr>
          <w:sz w:val="20"/>
        </w:rPr>
        <w:t>minor.</w:t>
      </w:r>
    </w:p>
    <w:p w:rsidR="00592988" w:rsidRDefault="0011787E">
      <w:pPr>
        <w:pStyle w:val="ListParagraph"/>
        <w:numPr>
          <w:ilvl w:val="0"/>
          <w:numId w:val="4"/>
        </w:numPr>
        <w:tabs>
          <w:tab w:val="left" w:pos="919"/>
          <w:tab w:val="left" w:pos="920"/>
        </w:tabs>
        <w:spacing w:line="237" w:lineRule="auto"/>
        <w:ind w:right="250"/>
        <w:rPr>
          <w:sz w:val="20"/>
        </w:rPr>
      </w:pPr>
      <w:r>
        <w:rPr>
          <w:sz w:val="20"/>
        </w:rPr>
        <w:t xml:space="preserve">Article 33 on the cum laude regulation for the </w:t>
      </w:r>
      <w:r>
        <w:rPr>
          <w:b/>
          <w:sz w:val="20"/>
        </w:rPr>
        <w:t>Master's degree programme</w:t>
      </w:r>
      <w:r>
        <w:rPr>
          <w:sz w:val="20"/>
        </w:rPr>
        <w:t>: the weighted average mark has been lowered from 8.5 to 8.0. The requirements that the thesis must have a minimum mark of 9.0 and the maximum duration of study must be 30 months remain unchanged. This requirement applies to the 2018 intake, but will also apply to Master's students from the 2017</w:t>
      </w:r>
      <w:r>
        <w:rPr>
          <w:spacing w:val="-19"/>
          <w:sz w:val="20"/>
        </w:rPr>
        <w:t xml:space="preserve"> </w:t>
      </w:r>
      <w:r>
        <w:rPr>
          <w:sz w:val="20"/>
        </w:rPr>
        <w:t>intake.</w:t>
      </w:r>
    </w:p>
    <w:p w:rsidR="00592988" w:rsidRDefault="0011787E">
      <w:pPr>
        <w:pStyle w:val="BodyText"/>
        <w:spacing w:line="228" w:lineRule="exact"/>
        <w:ind w:left="919"/>
      </w:pPr>
      <w:r>
        <w:t>The cum laude requirements for the Bachelor's programmes remain unchanged.</w:t>
      </w:r>
    </w:p>
    <w:p w:rsidR="00592988" w:rsidRDefault="00592988">
      <w:pPr>
        <w:pStyle w:val="BodyText"/>
        <w:rPr>
          <w:sz w:val="22"/>
        </w:rPr>
      </w:pPr>
    </w:p>
    <w:p w:rsidR="00592988" w:rsidRDefault="00592988">
      <w:pPr>
        <w:pStyle w:val="BodyText"/>
        <w:spacing w:before="1"/>
        <w:rPr>
          <w:sz w:val="28"/>
        </w:rPr>
      </w:pPr>
    </w:p>
    <w:p w:rsidR="00592988" w:rsidRDefault="0011787E">
      <w:pPr>
        <w:pStyle w:val="Heading2"/>
        <w:spacing w:before="1"/>
      </w:pPr>
      <w:bookmarkStart w:id="14" w:name="Marking_period"/>
      <w:bookmarkEnd w:id="14"/>
      <w:r>
        <w:t>Marking period</w:t>
      </w:r>
    </w:p>
    <w:p w:rsidR="00592988" w:rsidRDefault="0011787E">
      <w:pPr>
        <w:pStyle w:val="BodyText"/>
        <w:spacing w:before="16" w:line="252" w:lineRule="auto"/>
        <w:ind w:left="199" w:right="310"/>
      </w:pPr>
      <w:r>
        <w:t>The examiner determines the result of a written examination as quickly as possible but by no later than 15 working days after the examination. Note that interim examinations must be marked at least five days before the following examination/interim examination.</w:t>
      </w:r>
    </w:p>
    <w:p w:rsidR="00592988" w:rsidRDefault="0011787E">
      <w:pPr>
        <w:pStyle w:val="BodyText"/>
        <w:spacing w:line="247" w:lineRule="auto"/>
        <w:ind w:left="199" w:right="855"/>
      </w:pPr>
      <w:r>
        <w:t>(There is an alternative deadline for resits taken in August. Here a marking period of five working days applies).</w:t>
      </w:r>
    </w:p>
    <w:p w:rsidR="00592988" w:rsidRDefault="0011787E">
      <w:pPr>
        <w:pStyle w:val="BodyText"/>
        <w:spacing w:before="169"/>
        <w:ind w:left="199"/>
      </w:pPr>
      <w:r>
        <w:t>Please note the following tips:</w:t>
      </w:r>
    </w:p>
    <w:p w:rsidR="00592988" w:rsidRDefault="0011787E">
      <w:pPr>
        <w:pStyle w:val="ListParagraph"/>
        <w:numPr>
          <w:ilvl w:val="0"/>
          <w:numId w:val="3"/>
        </w:numPr>
        <w:tabs>
          <w:tab w:val="left" w:pos="919"/>
          <w:tab w:val="left" w:pos="920"/>
        </w:tabs>
        <w:spacing w:before="1" w:line="239" w:lineRule="exact"/>
        <w:rPr>
          <w:sz w:val="20"/>
        </w:rPr>
      </w:pPr>
      <w:r>
        <w:rPr>
          <w:sz w:val="20"/>
        </w:rPr>
        <w:t>Inform students in advance about when you will have marked the</w:t>
      </w:r>
      <w:r>
        <w:rPr>
          <w:spacing w:val="2"/>
          <w:sz w:val="20"/>
        </w:rPr>
        <w:t xml:space="preserve"> </w:t>
      </w:r>
      <w:r>
        <w:rPr>
          <w:sz w:val="20"/>
        </w:rPr>
        <w:t>examination.</w:t>
      </w:r>
    </w:p>
    <w:p w:rsidR="00592988" w:rsidRDefault="0011787E">
      <w:pPr>
        <w:pStyle w:val="ListParagraph"/>
        <w:numPr>
          <w:ilvl w:val="0"/>
          <w:numId w:val="3"/>
        </w:numPr>
        <w:tabs>
          <w:tab w:val="left" w:pos="919"/>
          <w:tab w:val="left" w:pos="920"/>
        </w:tabs>
        <w:spacing w:before="3" w:line="228" w:lineRule="auto"/>
        <w:ind w:right="461"/>
        <w:rPr>
          <w:sz w:val="20"/>
        </w:rPr>
      </w:pPr>
      <w:r>
        <w:rPr>
          <w:sz w:val="20"/>
        </w:rPr>
        <w:t>Enter</w:t>
      </w:r>
      <w:r>
        <w:rPr>
          <w:spacing w:val="-4"/>
          <w:sz w:val="20"/>
        </w:rPr>
        <w:t xml:space="preserve"> </w:t>
      </w:r>
      <w:r>
        <w:rPr>
          <w:sz w:val="20"/>
        </w:rPr>
        <w:t>corrections</w:t>
      </w:r>
      <w:r>
        <w:rPr>
          <w:spacing w:val="-1"/>
          <w:sz w:val="20"/>
        </w:rPr>
        <w:t xml:space="preserve"> </w:t>
      </w:r>
      <w:r>
        <w:rPr>
          <w:sz w:val="20"/>
        </w:rPr>
        <w:t>in</w:t>
      </w:r>
      <w:r>
        <w:rPr>
          <w:spacing w:val="-4"/>
          <w:sz w:val="20"/>
        </w:rPr>
        <w:t xml:space="preserve"> </w:t>
      </w:r>
      <w:r>
        <w:rPr>
          <w:sz w:val="20"/>
        </w:rPr>
        <w:t>Osiris</w:t>
      </w:r>
      <w:r>
        <w:rPr>
          <w:spacing w:val="-3"/>
          <w:sz w:val="20"/>
        </w:rPr>
        <w:t xml:space="preserve"> </w:t>
      </w:r>
      <w:r>
        <w:rPr>
          <w:sz w:val="20"/>
        </w:rPr>
        <w:t>retrospectively,</w:t>
      </w:r>
      <w:r>
        <w:rPr>
          <w:spacing w:val="-5"/>
          <w:sz w:val="20"/>
        </w:rPr>
        <w:t xml:space="preserve"> </w:t>
      </w:r>
      <w:r>
        <w:rPr>
          <w:sz w:val="20"/>
        </w:rPr>
        <w:t>don't</w:t>
      </w:r>
      <w:r>
        <w:rPr>
          <w:spacing w:val="-2"/>
          <w:sz w:val="20"/>
        </w:rPr>
        <w:t xml:space="preserve"> </w:t>
      </w:r>
      <w:r>
        <w:rPr>
          <w:sz w:val="20"/>
        </w:rPr>
        <w:t>wait</w:t>
      </w:r>
      <w:r>
        <w:rPr>
          <w:spacing w:val="-3"/>
          <w:sz w:val="20"/>
        </w:rPr>
        <w:t xml:space="preserve"> </w:t>
      </w:r>
      <w:r>
        <w:rPr>
          <w:sz w:val="20"/>
        </w:rPr>
        <w:t>until</w:t>
      </w:r>
      <w:r>
        <w:rPr>
          <w:spacing w:val="-5"/>
          <w:sz w:val="20"/>
        </w:rPr>
        <w:t xml:space="preserve"> </w:t>
      </w:r>
      <w:r>
        <w:rPr>
          <w:sz w:val="20"/>
        </w:rPr>
        <w:t>the</w:t>
      </w:r>
      <w:r>
        <w:rPr>
          <w:spacing w:val="-5"/>
          <w:sz w:val="20"/>
        </w:rPr>
        <w:t xml:space="preserve"> </w:t>
      </w:r>
      <w:r>
        <w:rPr>
          <w:sz w:val="20"/>
        </w:rPr>
        <w:t>students</w:t>
      </w:r>
      <w:r>
        <w:rPr>
          <w:spacing w:val="-3"/>
          <w:sz w:val="20"/>
        </w:rPr>
        <w:t xml:space="preserve"> </w:t>
      </w:r>
      <w:r>
        <w:rPr>
          <w:sz w:val="20"/>
        </w:rPr>
        <w:t>have</w:t>
      </w:r>
      <w:r>
        <w:rPr>
          <w:spacing w:val="-5"/>
          <w:sz w:val="20"/>
        </w:rPr>
        <w:t xml:space="preserve"> </w:t>
      </w:r>
      <w:r>
        <w:rPr>
          <w:sz w:val="20"/>
        </w:rPr>
        <w:t>seen</w:t>
      </w:r>
      <w:r>
        <w:rPr>
          <w:spacing w:val="-4"/>
          <w:sz w:val="20"/>
        </w:rPr>
        <w:t xml:space="preserve"> </w:t>
      </w:r>
      <w:r>
        <w:rPr>
          <w:sz w:val="20"/>
        </w:rPr>
        <w:t>their</w:t>
      </w:r>
      <w:r>
        <w:rPr>
          <w:spacing w:val="-3"/>
          <w:sz w:val="20"/>
        </w:rPr>
        <w:t xml:space="preserve"> </w:t>
      </w:r>
      <w:r>
        <w:rPr>
          <w:sz w:val="20"/>
        </w:rPr>
        <w:t>examination work.</w:t>
      </w:r>
    </w:p>
    <w:p w:rsidR="00592988" w:rsidRDefault="0011787E">
      <w:pPr>
        <w:pStyle w:val="ListParagraph"/>
        <w:numPr>
          <w:ilvl w:val="0"/>
          <w:numId w:val="3"/>
        </w:numPr>
        <w:tabs>
          <w:tab w:val="left" w:pos="919"/>
          <w:tab w:val="left" w:pos="920"/>
        </w:tabs>
        <w:spacing w:before="9" w:line="230" w:lineRule="auto"/>
        <w:ind w:right="166"/>
        <w:rPr>
          <w:sz w:val="20"/>
        </w:rPr>
      </w:pPr>
      <w:r>
        <w:rPr>
          <w:sz w:val="20"/>
        </w:rPr>
        <w:t>Bachelor's examinations in the 5th week must be marked as quickly as possible so that students have sufficient time to prepare for a possible</w:t>
      </w:r>
      <w:r>
        <w:rPr>
          <w:spacing w:val="-8"/>
          <w:sz w:val="20"/>
        </w:rPr>
        <w:t xml:space="preserve"> </w:t>
      </w:r>
      <w:r>
        <w:rPr>
          <w:sz w:val="20"/>
        </w:rPr>
        <w:t>resit.</w:t>
      </w:r>
    </w:p>
    <w:p w:rsidR="00592988" w:rsidRDefault="0011787E">
      <w:pPr>
        <w:pStyle w:val="ListParagraph"/>
        <w:numPr>
          <w:ilvl w:val="0"/>
          <w:numId w:val="3"/>
        </w:numPr>
        <w:tabs>
          <w:tab w:val="left" w:pos="919"/>
          <w:tab w:val="left" w:pos="920"/>
        </w:tabs>
        <w:spacing w:before="2" w:line="237" w:lineRule="auto"/>
        <w:ind w:right="329"/>
        <w:rPr>
          <w:sz w:val="20"/>
        </w:rPr>
      </w:pPr>
      <w:r>
        <w:rPr>
          <w:sz w:val="20"/>
        </w:rPr>
        <w:t>You can communicate marks for interim tests right away via Brightspace grade center. Other means of communication are in most cases not allowed due to the new privacy legislation. The marks for tests/examinations registered in Osiris must be entered in Osiris within 15 working days (just as with final</w:t>
      </w:r>
      <w:r>
        <w:rPr>
          <w:spacing w:val="-2"/>
          <w:sz w:val="20"/>
        </w:rPr>
        <w:t xml:space="preserve"> </w:t>
      </w:r>
      <w:r>
        <w:rPr>
          <w:sz w:val="20"/>
        </w:rPr>
        <w:t>marks).</w:t>
      </w:r>
    </w:p>
    <w:p w:rsidR="00592988" w:rsidRDefault="0011787E">
      <w:pPr>
        <w:pStyle w:val="ListParagraph"/>
        <w:numPr>
          <w:ilvl w:val="0"/>
          <w:numId w:val="3"/>
        </w:numPr>
        <w:tabs>
          <w:tab w:val="left" w:pos="919"/>
          <w:tab w:val="left" w:pos="920"/>
        </w:tabs>
        <w:spacing w:line="242" w:lineRule="exact"/>
        <w:rPr>
          <w:sz w:val="20"/>
        </w:rPr>
      </w:pPr>
      <w:r>
        <w:rPr>
          <w:sz w:val="20"/>
        </w:rPr>
        <w:t>Results entered after the period of 15 working days will be deemed to have been marked too</w:t>
      </w:r>
      <w:r>
        <w:rPr>
          <w:spacing w:val="-27"/>
          <w:sz w:val="20"/>
        </w:rPr>
        <w:t xml:space="preserve"> </w:t>
      </w:r>
      <w:r>
        <w:rPr>
          <w:sz w:val="20"/>
        </w:rPr>
        <w:t>late.</w:t>
      </w:r>
    </w:p>
    <w:p w:rsidR="00592988" w:rsidRDefault="00592988">
      <w:pPr>
        <w:spacing w:line="242" w:lineRule="exact"/>
        <w:rPr>
          <w:sz w:val="20"/>
        </w:rPr>
        <w:sectPr w:rsidR="00592988">
          <w:pgSz w:w="11910" w:h="16840"/>
          <w:pgMar w:top="1340" w:right="940" w:bottom="920" w:left="880" w:header="0" w:footer="732" w:gutter="0"/>
          <w:cols w:space="708"/>
        </w:sectPr>
      </w:pPr>
    </w:p>
    <w:p w:rsidR="00592988" w:rsidRDefault="0011787E">
      <w:pPr>
        <w:pStyle w:val="Heading1"/>
        <w:spacing w:before="75"/>
      </w:pPr>
      <w:bookmarkStart w:id="15" w:name="Summary_of_Education_Day_3mE_2018"/>
      <w:bookmarkStart w:id="16" w:name="_bookmark3"/>
      <w:bookmarkEnd w:id="15"/>
      <w:bookmarkEnd w:id="16"/>
      <w:r>
        <w:lastRenderedPageBreak/>
        <w:t>SUMMARY OF EDUCATION DAY 3ME 2018</w:t>
      </w:r>
    </w:p>
    <w:p w:rsidR="00592988" w:rsidRDefault="00592988">
      <w:pPr>
        <w:pStyle w:val="BodyText"/>
        <w:spacing w:before="4"/>
        <w:rPr>
          <w:b/>
          <w:sz w:val="40"/>
        </w:rPr>
      </w:pPr>
    </w:p>
    <w:p w:rsidR="00592988" w:rsidRDefault="0011787E">
      <w:pPr>
        <w:pStyle w:val="BodyText"/>
        <w:spacing w:line="249" w:lineRule="auto"/>
        <w:ind w:left="199" w:right="176"/>
      </w:pPr>
      <w:r>
        <w:t xml:space="preserve">Every year the faculty of 3mE organizes an Education Day just before the opening of the academic year. The theme of the annual Education Day of 29 August 2018 was “study success in the Master”. In the framework of this theme, during </w:t>
      </w:r>
      <w:r>
        <w:rPr>
          <w:b/>
        </w:rPr>
        <w:t xml:space="preserve">the morning </w:t>
      </w:r>
      <w:r>
        <w:t>three topics were discussed:</w:t>
      </w:r>
    </w:p>
    <w:p w:rsidR="00592988" w:rsidRDefault="00592988">
      <w:pPr>
        <w:pStyle w:val="BodyText"/>
        <w:spacing w:before="3"/>
        <w:rPr>
          <w:sz w:val="21"/>
        </w:rPr>
      </w:pPr>
    </w:p>
    <w:p w:rsidR="00592988" w:rsidRDefault="0011787E">
      <w:pPr>
        <w:pStyle w:val="ListParagraph"/>
        <w:numPr>
          <w:ilvl w:val="0"/>
          <w:numId w:val="2"/>
        </w:numPr>
        <w:tabs>
          <w:tab w:val="left" w:pos="421"/>
        </w:tabs>
        <w:ind w:hanging="220"/>
        <w:rPr>
          <w:i/>
          <w:sz w:val="20"/>
        </w:rPr>
      </w:pPr>
      <w:r>
        <w:rPr>
          <w:i/>
          <w:sz w:val="20"/>
          <w:u w:val="single"/>
        </w:rPr>
        <w:t>Division of the education workload in the</w:t>
      </w:r>
      <w:r>
        <w:rPr>
          <w:i/>
          <w:spacing w:val="-3"/>
          <w:sz w:val="20"/>
          <w:u w:val="single"/>
        </w:rPr>
        <w:t xml:space="preserve"> </w:t>
      </w:r>
      <w:r>
        <w:rPr>
          <w:i/>
          <w:sz w:val="20"/>
          <w:u w:val="single"/>
        </w:rPr>
        <w:t>masters</w:t>
      </w:r>
    </w:p>
    <w:p w:rsidR="00592988" w:rsidRDefault="00592988">
      <w:pPr>
        <w:pStyle w:val="BodyText"/>
        <w:spacing w:before="4"/>
        <w:rPr>
          <w:i/>
          <w:sz w:val="14"/>
        </w:rPr>
      </w:pPr>
    </w:p>
    <w:p w:rsidR="00592988" w:rsidRDefault="0011787E">
      <w:pPr>
        <w:pStyle w:val="BodyText"/>
        <w:spacing w:before="93" w:line="249" w:lineRule="auto"/>
        <w:ind w:left="199" w:right="310"/>
      </w:pPr>
      <w:r>
        <w:t>The introduction of new master programmes and new tracks is instrumental for the distribution of master students over the seven departments of 3mE. It is difficult to intervene in the choices students make; we can merely seduce them to choose certain master programmes/tracks. This can be best done by offering clear information to third year bachelor students on what kind of research topics are offered by a department.</w:t>
      </w:r>
    </w:p>
    <w:p w:rsidR="00592988" w:rsidRDefault="0011787E">
      <w:pPr>
        <w:pStyle w:val="BodyText"/>
        <w:spacing w:before="168" w:line="252" w:lineRule="auto"/>
        <w:ind w:left="200" w:right="297"/>
      </w:pPr>
      <w:r>
        <w:t>Division of graduates amongst the staff of a department starts already during the first master year. Best practices are the organization of a thesis of graduation market and the presentation of the research areas by the various staff members. In general, participants felt that formulating the thesis research project is part of the learning experience of the master student, creating an independency. For this reason participants were not in favour of offering too detailed thesis projects, like is done with the Bachelor End Project.</w:t>
      </w:r>
    </w:p>
    <w:p w:rsidR="00592988" w:rsidRDefault="0011787E">
      <w:pPr>
        <w:pStyle w:val="BodyText"/>
        <w:spacing w:before="159" w:line="252" w:lineRule="auto"/>
        <w:ind w:left="200" w:right="331"/>
      </w:pPr>
      <w:r>
        <w:t>Some staff members have good experience with guiding an intervision group of their graduates. More topics that are generic and even some feedback regarding content of the graduation project is discussed in group sessions; individual guidance is – of course – also provided.</w:t>
      </w:r>
    </w:p>
    <w:p w:rsidR="00592988" w:rsidRDefault="00592988">
      <w:pPr>
        <w:pStyle w:val="BodyText"/>
        <w:rPr>
          <w:sz w:val="22"/>
        </w:rPr>
      </w:pPr>
    </w:p>
    <w:p w:rsidR="00592988" w:rsidRDefault="00592988">
      <w:pPr>
        <w:pStyle w:val="BodyText"/>
        <w:spacing w:before="6"/>
        <w:rPr>
          <w:sz w:val="19"/>
        </w:rPr>
      </w:pPr>
    </w:p>
    <w:p w:rsidR="00592988" w:rsidRDefault="0011787E">
      <w:pPr>
        <w:pStyle w:val="ListParagraph"/>
        <w:numPr>
          <w:ilvl w:val="0"/>
          <w:numId w:val="2"/>
        </w:numPr>
        <w:tabs>
          <w:tab w:val="left" w:pos="421"/>
        </w:tabs>
        <w:rPr>
          <w:i/>
          <w:sz w:val="20"/>
        </w:rPr>
      </w:pPr>
      <w:r>
        <w:rPr>
          <w:i/>
          <w:sz w:val="20"/>
          <w:u w:val="single"/>
        </w:rPr>
        <w:t>Incorporation and reinforcement of various elements in the first year of the 3mE</w:t>
      </w:r>
      <w:r>
        <w:rPr>
          <w:i/>
          <w:spacing w:val="-16"/>
          <w:sz w:val="20"/>
          <w:u w:val="single"/>
        </w:rPr>
        <w:t xml:space="preserve"> </w:t>
      </w:r>
      <w:r>
        <w:rPr>
          <w:i/>
          <w:sz w:val="20"/>
          <w:u w:val="single"/>
        </w:rPr>
        <w:t>MSc-programmes</w:t>
      </w:r>
    </w:p>
    <w:p w:rsidR="00592988" w:rsidRDefault="00592988">
      <w:pPr>
        <w:pStyle w:val="BodyText"/>
        <w:spacing w:before="3"/>
        <w:rPr>
          <w:i/>
          <w:sz w:val="28"/>
        </w:rPr>
      </w:pPr>
    </w:p>
    <w:p w:rsidR="00592988" w:rsidRDefault="0011787E">
      <w:pPr>
        <w:pStyle w:val="BodyText"/>
        <w:spacing w:before="93" w:line="249" w:lineRule="auto"/>
        <w:ind w:left="200" w:right="431"/>
      </w:pPr>
      <w:r>
        <w:t>We talked about three topics that, according to the visitation committees, should be incorporated in the first year of the master programmes:</w:t>
      </w:r>
    </w:p>
    <w:p w:rsidR="00592988" w:rsidRDefault="0011787E">
      <w:pPr>
        <w:pStyle w:val="ListParagraph"/>
        <w:numPr>
          <w:ilvl w:val="1"/>
          <w:numId w:val="2"/>
        </w:numPr>
        <w:tabs>
          <w:tab w:val="left" w:pos="919"/>
          <w:tab w:val="left" w:pos="920"/>
        </w:tabs>
        <w:spacing w:before="164"/>
        <w:rPr>
          <w:sz w:val="20"/>
        </w:rPr>
      </w:pPr>
      <w:r>
        <w:rPr>
          <w:sz w:val="20"/>
        </w:rPr>
        <w:t>Multidisciplinarity</w:t>
      </w:r>
    </w:p>
    <w:p w:rsidR="00592988" w:rsidRDefault="0011787E">
      <w:pPr>
        <w:pStyle w:val="ListParagraph"/>
        <w:numPr>
          <w:ilvl w:val="1"/>
          <w:numId w:val="2"/>
        </w:numPr>
        <w:tabs>
          <w:tab w:val="left" w:pos="919"/>
          <w:tab w:val="left" w:pos="920"/>
        </w:tabs>
        <w:spacing w:before="11"/>
        <w:rPr>
          <w:sz w:val="20"/>
        </w:rPr>
      </w:pPr>
      <w:r>
        <w:rPr>
          <w:sz w:val="20"/>
        </w:rPr>
        <w:t>Soft</w:t>
      </w:r>
      <w:r>
        <w:rPr>
          <w:spacing w:val="-2"/>
          <w:sz w:val="20"/>
        </w:rPr>
        <w:t xml:space="preserve"> </w:t>
      </w:r>
      <w:r>
        <w:rPr>
          <w:sz w:val="20"/>
        </w:rPr>
        <w:t>skills</w:t>
      </w:r>
    </w:p>
    <w:p w:rsidR="00592988" w:rsidRDefault="0011787E">
      <w:pPr>
        <w:pStyle w:val="ListParagraph"/>
        <w:numPr>
          <w:ilvl w:val="1"/>
          <w:numId w:val="2"/>
        </w:numPr>
        <w:tabs>
          <w:tab w:val="left" w:pos="919"/>
          <w:tab w:val="left" w:pos="920"/>
        </w:tabs>
        <w:spacing w:before="10"/>
        <w:rPr>
          <w:sz w:val="20"/>
        </w:rPr>
      </w:pPr>
      <w:r>
        <w:rPr>
          <w:sz w:val="20"/>
        </w:rPr>
        <w:t>Internationalization</w:t>
      </w:r>
    </w:p>
    <w:p w:rsidR="00592988" w:rsidRDefault="0011787E">
      <w:pPr>
        <w:pStyle w:val="BodyText"/>
        <w:spacing w:before="171" w:line="252" w:lineRule="auto"/>
        <w:ind w:left="199" w:right="265"/>
      </w:pPr>
      <w:r>
        <w:t>First, there was a discussion about the definition of these three concepts. Internationalization, what does that mean exactly? How broad should we see the concept of multidisciplinarity? And what characteristics are meant by soft skills? We did not come to a definitive answer to these questions, but conclusions were that internationalization should be seen more broadly than just 'studying abroad', that multidisciplinarity does not necessarily have to be found outside the faculty because we have so much variation to offer ourselves, and that soft skills can mean anything from ethics to communication to scientific writing.</w:t>
      </w:r>
    </w:p>
    <w:p w:rsidR="00592988" w:rsidRDefault="0011787E">
      <w:pPr>
        <w:pStyle w:val="BodyText"/>
        <w:spacing w:before="160" w:line="252" w:lineRule="auto"/>
        <w:ind w:left="199" w:right="198"/>
      </w:pPr>
      <w:r>
        <w:t>After this, we brainstormed on how we can better integrate these elements in the first year of the master programmes. Soon the idea arose for a short-term, multidisciplinary project in which students from various 3mE programmes have to work together. With this, the first two elements could be combined in an interesting and relevant assignment. Internationalization could be stimulated by inviting foreign guest lecturers or doing a project (at distance) with students from foreign universities. To facilitate internationalization in the narrow sense of the word - namely: studying abroad - there should be a structural change in the structure of the first master year: there should be no obligatory courses in the second semester.</w:t>
      </w:r>
    </w:p>
    <w:p w:rsidR="00592988" w:rsidRDefault="00592988">
      <w:pPr>
        <w:pStyle w:val="BodyText"/>
        <w:rPr>
          <w:sz w:val="22"/>
        </w:rPr>
      </w:pPr>
    </w:p>
    <w:p w:rsidR="00592988" w:rsidRDefault="0011787E">
      <w:pPr>
        <w:pStyle w:val="ListParagraph"/>
        <w:numPr>
          <w:ilvl w:val="0"/>
          <w:numId w:val="2"/>
        </w:numPr>
        <w:tabs>
          <w:tab w:val="left" w:pos="421"/>
        </w:tabs>
        <w:spacing w:before="147"/>
        <w:ind w:hanging="220"/>
        <w:rPr>
          <w:i/>
          <w:sz w:val="20"/>
        </w:rPr>
      </w:pPr>
      <w:r>
        <w:rPr>
          <w:i/>
          <w:sz w:val="20"/>
          <w:u w:val="single"/>
        </w:rPr>
        <w:t>The structure of the second year of 3mE MSc-programmes, i.e. the graduation</w:t>
      </w:r>
      <w:r>
        <w:rPr>
          <w:i/>
          <w:spacing w:val="-11"/>
          <w:sz w:val="20"/>
          <w:u w:val="single"/>
        </w:rPr>
        <w:t xml:space="preserve"> </w:t>
      </w:r>
      <w:r>
        <w:rPr>
          <w:i/>
          <w:sz w:val="20"/>
          <w:u w:val="single"/>
        </w:rPr>
        <w:t>year</w:t>
      </w:r>
    </w:p>
    <w:p w:rsidR="00592988" w:rsidRDefault="00592988">
      <w:pPr>
        <w:pStyle w:val="BodyText"/>
        <w:spacing w:before="1"/>
        <w:rPr>
          <w:i/>
          <w:sz w:val="14"/>
        </w:rPr>
      </w:pPr>
    </w:p>
    <w:p w:rsidR="00592988" w:rsidRDefault="0011787E">
      <w:pPr>
        <w:pStyle w:val="BodyText"/>
        <w:spacing w:before="92" w:line="249" w:lineRule="auto"/>
        <w:ind w:left="200" w:right="642"/>
      </w:pPr>
      <w:r>
        <w:t>Two things were discussed: the structure of the second master year and the organization of the thesis or graduation project.</w:t>
      </w:r>
    </w:p>
    <w:p w:rsidR="00592988" w:rsidRDefault="00592988">
      <w:pPr>
        <w:pStyle w:val="BodyText"/>
        <w:spacing w:before="5"/>
        <w:rPr>
          <w:sz w:val="21"/>
        </w:rPr>
      </w:pPr>
    </w:p>
    <w:p w:rsidR="00592988" w:rsidRDefault="0011787E">
      <w:pPr>
        <w:pStyle w:val="BodyText"/>
        <w:spacing w:line="249" w:lineRule="auto"/>
        <w:ind w:left="199" w:right="199"/>
      </w:pPr>
      <w:r>
        <w:t>All participants reported that the current structure in their department was somehow different. A discussion on advantages and disadvantages of different structures followed, but in the end there was a preference to</w:t>
      </w:r>
    </w:p>
    <w:p w:rsidR="00592988" w:rsidRDefault="00592988">
      <w:pPr>
        <w:spacing w:line="249" w:lineRule="auto"/>
        <w:sectPr w:rsidR="00592988">
          <w:pgSz w:w="11910" w:h="16840"/>
          <w:pgMar w:top="1340" w:right="940" w:bottom="920" w:left="880" w:header="0" w:footer="732" w:gutter="0"/>
          <w:cols w:space="708"/>
        </w:sectPr>
      </w:pPr>
    </w:p>
    <w:p w:rsidR="00592988" w:rsidRDefault="0011787E">
      <w:pPr>
        <w:pStyle w:val="BodyText"/>
        <w:spacing w:before="81" w:line="249" w:lineRule="auto"/>
        <w:ind w:left="199" w:right="511"/>
      </w:pPr>
      <w:r>
        <w:lastRenderedPageBreak/>
        <w:t>maintain a certain diversity in the structure, or not make the structure too rigid at all (with many milestones and corresponding administration), in order to adapt to specific graduation project characteristics.</w:t>
      </w:r>
    </w:p>
    <w:p w:rsidR="00592988" w:rsidRDefault="0011787E">
      <w:pPr>
        <w:pStyle w:val="BodyText"/>
        <w:spacing w:before="165" w:line="252" w:lineRule="auto"/>
        <w:ind w:left="199" w:right="196"/>
      </w:pPr>
      <w:r>
        <w:t>The second discussion point centred around the question: “Can a student fail his/her graduation project?”, i.e. can the graduation project be treated as ‘just another course’. All employees agreed that this in principle is (or should) be the case. But how? The pilot currently running at the Maritime Technology MSc-programme was considered a good example of a structure and procedure for a graduation project ‘new style’. Key to the procedure is a form that registers the start of the graduation process and consequently provisional dates for go/no go meeting and graduation as well (if the project is successfully finished in nominal time). If a second go/no go results in a no go as well, the student will have failed his/her graduation project and is offered a new graduation project (new topic, new supervisor). Participants agreed that this should be possible but also stated that it has not come to that yet.</w:t>
      </w:r>
    </w:p>
    <w:p w:rsidR="00592988" w:rsidRDefault="00592988">
      <w:pPr>
        <w:pStyle w:val="BodyText"/>
        <w:rPr>
          <w:sz w:val="22"/>
        </w:rPr>
      </w:pPr>
    </w:p>
    <w:p w:rsidR="00592988" w:rsidRDefault="0011787E">
      <w:pPr>
        <w:spacing w:before="144"/>
        <w:ind w:left="199"/>
        <w:rPr>
          <w:sz w:val="20"/>
        </w:rPr>
      </w:pPr>
      <w:r>
        <w:rPr>
          <w:sz w:val="20"/>
        </w:rPr>
        <w:t xml:space="preserve">In </w:t>
      </w:r>
      <w:r>
        <w:rPr>
          <w:b/>
          <w:sz w:val="20"/>
        </w:rPr>
        <w:t xml:space="preserve">the afternoon </w:t>
      </w:r>
      <w:r>
        <w:rPr>
          <w:sz w:val="20"/>
        </w:rPr>
        <w:t>three workshops were offered:</w:t>
      </w:r>
    </w:p>
    <w:p w:rsidR="00592988" w:rsidRDefault="0011787E">
      <w:pPr>
        <w:pStyle w:val="ListParagraph"/>
        <w:numPr>
          <w:ilvl w:val="0"/>
          <w:numId w:val="1"/>
        </w:numPr>
        <w:tabs>
          <w:tab w:val="left" w:pos="920"/>
        </w:tabs>
        <w:spacing w:before="176" w:line="252" w:lineRule="auto"/>
        <w:ind w:right="174"/>
        <w:rPr>
          <w:sz w:val="20"/>
        </w:rPr>
      </w:pPr>
      <w:r>
        <w:rPr>
          <w:sz w:val="20"/>
        </w:rPr>
        <w:t>Early detection of problems of students while writing their thesis, by a Study Counsellor and a Student Psychologist. In general, it was concluded that it is important to reach out in to a student in need, but also to refer the student to professional</w:t>
      </w:r>
      <w:r>
        <w:rPr>
          <w:spacing w:val="-5"/>
          <w:sz w:val="20"/>
        </w:rPr>
        <w:t xml:space="preserve"> </w:t>
      </w:r>
      <w:r>
        <w:rPr>
          <w:sz w:val="20"/>
        </w:rPr>
        <w:t>support.</w:t>
      </w:r>
    </w:p>
    <w:p w:rsidR="00592988" w:rsidRDefault="00592988">
      <w:pPr>
        <w:pStyle w:val="BodyText"/>
        <w:spacing w:before="10"/>
      </w:pPr>
    </w:p>
    <w:p w:rsidR="00592988" w:rsidRDefault="0011787E">
      <w:pPr>
        <w:pStyle w:val="ListParagraph"/>
        <w:numPr>
          <w:ilvl w:val="0"/>
          <w:numId w:val="1"/>
        </w:numPr>
        <w:tabs>
          <w:tab w:val="left" w:pos="920"/>
        </w:tabs>
        <w:spacing w:line="252" w:lineRule="auto"/>
        <w:ind w:right="691"/>
        <w:rPr>
          <w:sz w:val="20"/>
        </w:rPr>
      </w:pPr>
      <w:r>
        <w:rPr>
          <w:sz w:val="20"/>
        </w:rPr>
        <w:t>Different cultures in education and communication, by the Royal Tropical Institute, offering more insight how to guide our many Chinese and Indian master</w:t>
      </w:r>
      <w:r>
        <w:rPr>
          <w:spacing w:val="-14"/>
          <w:sz w:val="20"/>
        </w:rPr>
        <w:t xml:space="preserve"> </w:t>
      </w:r>
      <w:r>
        <w:rPr>
          <w:sz w:val="20"/>
        </w:rPr>
        <w:t>students.</w:t>
      </w:r>
    </w:p>
    <w:p w:rsidR="00592988" w:rsidRDefault="00592988">
      <w:pPr>
        <w:pStyle w:val="BodyText"/>
        <w:spacing w:before="1"/>
        <w:rPr>
          <w:sz w:val="21"/>
        </w:rPr>
      </w:pPr>
    </w:p>
    <w:p w:rsidR="00592988" w:rsidRDefault="0011787E">
      <w:pPr>
        <w:pStyle w:val="ListParagraph"/>
        <w:numPr>
          <w:ilvl w:val="0"/>
          <w:numId w:val="1"/>
        </w:numPr>
        <w:tabs>
          <w:tab w:val="left" w:pos="920"/>
        </w:tabs>
        <w:spacing w:line="252" w:lineRule="auto"/>
        <w:ind w:right="408"/>
        <w:rPr>
          <w:sz w:val="20"/>
        </w:rPr>
      </w:pPr>
      <w:r>
        <w:rPr>
          <w:sz w:val="20"/>
        </w:rPr>
        <w:t>Arend Schwab shared how he has redesigned his course Multibody Dynamics in order to cope with growing student numbers. A more detailed description has been published in 3mE</w:t>
      </w:r>
      <w:r>
        <w:rPr>
          <w:spacing w:val="-18"/>
          <w:sz w:val="20"/>
        </w:rPr>
        <w:t xml:space="preserve"> </w:t>
      </w:r>
      <w:r>
        <w:rPr>
          <w:sz w:val="20"/>
        </w:rPr>
        <w:t>–news.</w:t>
      </w:r>
    </w:p>
    <w:p w:rsidR="00592988" w:rsidRDefault="00592988">
      <w:pPr>
        <w:pStyle w:val="BodyText"/>
        <w:rPr>
          <w:sz w:val="22"/>
        </w:rPr>
      </w:pPr>
    </w:p>
    <w:p w:rsidR="00592988" w:rsidRDefault="00592988">
      <w:pPr>
        <w:pStyle w:val="BodyText"/>
        <w:rPr>
          <w:sz w:val="22"/>
        </w:rPr>
      </w:pPr>
    </w:p>
    <w:p w:rsidR="00592988" w:rsidRDefault="0011787E">
      <w:pPr>
        <w:pStyle w:val="Heading1"/>
        <w:spacing w:before="150"/>
      </w:pPr>
      <w:bookmarkStart w:id="17" w:name="Practical_News"/>
      <w:bookmarkStart w:id="18" w:name="_bookmark4"/>
      <w:bookmarkEnd w:id="17"/>
      <w:bookmarkEnd w:id="18"/>
      <w:r>
        <w:t>PRACTICAL NEWS</w:t>
      </w:r>
    </w:p>
    <w:p w:rsidR="00592988" w:rsidRDefault="0011787E">
      <w:pPr>
        <w:pStyle w:val="Heading2"/>
        <w:spacing w:before="135"/>
      </w:pPr>
      <w:bookmarkStart w:id="19" w:name="Information_about_exams_and_exam_procedu"/>
      <w:bookmarkEnd w:id="19"/>
      <w:r>
        <w:t>Information about exams and exam procedures</w:t>
      </w:r>
    </w:p>
    <w:p w:rsidR="00592988" w:rsidRDefault="0011787E">
      <w:pPr>
        <w:pStyle w:val="BodyText"/>
        <w:spacing w:before="14"/>
        <w:ind w:left="200"/>
      </w:pPr>
      <w:r>
        <w:t>Students register themselves in Osiris for courses and exams.</w:t>
      </w:r>
    </w:p>
    <w:p w:rsidR="00592988" w:rsidRDefault="0011787E">
      <w:pPr>
        <w:pStyle w:val="ListParagraph"/>
        <w:numPr>
          <w:ilvl w:val="1"/>
          <w:numId w:val="2"/>
        </w:numPr>
        <w:tabs>
          <w:tab w:val="left" w:pos="919"/>
          <w:tab w:val="left" w:pos="920"/>
        </w:tabs>
        <w:spacing w:before="174"/>
        <w:rPr>
          <w:sz w:val="20"/>
        </w:rPr>
      </w:pPr>
      <w:r>
        <w:rPr>
          <w:sz w:val="20"/>
        </w:rPr>
        <w:t>8 weeks before the examination date the enrolment opens (therefore 6 weeks to</w:t>
      </w:r>
      <w:r>
        <w:rPr>
          <w:spacing w:val="-17"/>
          <w:sz w:val="20"/>
        </w:rPr>
        <w:t xml:space="preserve"> </w:t>
      </w:r>
      <w:r>
        <w:rPr>
          <w:sz w:val="20"/>
        </w:rPr>
        <w:t>register)</w:t>
      </w:r>
    </w:p>
    <w:p w:rsidR="00592988" w:rsidRDefault="0011787E">
      <w:pPr>
        <w:pStyle w:val="ListParagraph"/>
        <w:numPr>
          <w:ilvl w:val="1"/>
          <w:numId w:val="2"/>
        </w:numPr>
        <w:tabs>
          <w:tab w:val="left" w:pos="919"/>
          <w:tab w:val="left" w:pos="920"/>
        </w:tabs>
        <w:spacing w:before="9"/>
        <w:rPr>
          <w:sz w:val="20"/>
        </w:rPr>
      </w:pPr>
      <w:r>
        <w:rPr>
          <w:sz w:val="20"/>
        </w:rPr>
        <w:t>Exam dates are determined before the start of the Semester and thereby</w:t>
      </w:r>
      <w:r>
        <w:rPr>
          <w:spacing w:val="-11"/>
          <w:sz w:val="20"/>
        </w:rPr>
        <w:t xml:space="preserve"> </w:t>
      </w:r>
      <w:r>
        <w:rPr>
          <w:sz w:val="20"/>
        </w:rPr>
        <w:t>fixed.</w:t>
      </w:r>
    </w:p>
    <w:p w:rsidR="00592988" w:rsidRDefault="0011787E">
      <w:pPr>
        <w:pStyle w:val="ListParagraph"/>
        <w:numPr>
          <w:ilvl w:val="1"/>
          <w:numId w:val="2"/>
        </w:numPr>
        <w:tabs>
          <w:tab w:val="left" w:pos="919"/>
          <w:tab w:val="left" w:pos="920"/>
        </w:tabs>
        <w:spacing w:before="10" w:line="249" w:lineRule="auto"/>
        <w:ind w:right="1975"/>
        <w:rPr>
          <w:sz w:val="20"/>
        </w:rPr>
      </w:pPr>
      <w:r>
        <w:rPr>
          <w:sz w:val="20"/>
        </w:rPr>
        <w:t>Locations will be determined no later than one week before the examination date. Teachers can from that moment also find the location in</w:t>
      </w:r>
      <w:r>
        <w:rPr>
          <w:spacing w:val="-8"/>
          <w:sz w:val="20"/>
        </w:rPr>
        <w:t xml:space="preserve"> </w:t>
      </w:r>
      <w:r>
        <w:rPr>
          <w:sz w:val="20"/>
        </w:rPr>
        <w:t>Osiris.</w:t>
      </w:r>
    </w:p>
    <w:p w:rsidR="00592988" w:rsidRDefault="0011787E">
      <w:pPr>
        <w:pStyle w:val="ListParagraph"/>
        <w:numPr>
          <w:ilvl w:val="1"/>
          <w:numId w:val="2"/>
        </w:numPr>
        <w:tabs>
          <w:tab w:val="left" w:pos="919"/>
          <w:tab w:val="left" w:pos="920"/>
        </w:tabs>
        <w:spacing w:before="2"/>
        <w:rPr>
          <w:sz w:val="20"/>
        </w:rPr>
      </w:pPr>
      <w:r>
        <w:rPr>
          <w:sz w:val="20"/>
        </w:rPr>
        <w:t>Is a student too late to register for an</w:t>
      </w:r>
      <w:r>
        <w:rPr>
          <w:spacing w:val="-4"/>
          <w:sz w:val="20"/>
        </w:rPr>
        <w:t xml:space="preserve"> </w:t>
      </w:r>
      <w:r>
        <w:rPr>
          <w:sz w:val="20"/>
        </w:rPr>
        <w:t>exam?</w:t>
      </w:r>
    </w:p>
    <w:p w:rsidR="00592988" w:rsidRDefault="0011787E">
      <w:pPr>
        <w:pStyle w:val="BodyText"/>
        <w:spacing w:before="11"/>
        <w:ind w:left="919"/>
      </w:pPr>
      <w:r>
        <w:t xml:space="preserve">Refer them to the </w:t>
      </w:r>
      <w:hyperlink r:id="rId13">
        <w:r>
          <w:rPr>
            <w:color w:val="0000FF"/>
            <w:u w:val="single" w:color="0000FF"/>
          </w:rPr>
          <w:t>website</w:t>
        </w:r>
        <w:r>
          <w:rPr>
            <w:color w:val="0000FF"/>
          </w:rPr>
          <w:t xml:space="preserve"> </w:t>
        </w:r>
      </w:hyperlink>
      <w:r>
        <w:t>of the Exam desk for the procedure.</w:t>
      </w:r>
    </w:p>
    <w:p w:rsidR="00592988" w:rsidRDefault="00592988">
      <w:pPr>
        <w:pStyle w:val="BodyText"/>
      </w:pPr>
    </w:p>
    <w:p w:rsidR="00592988" w:rsidRDefault="0011787E">
      <w:pPr>
        <w:pStyle w:val="Heading2"/>
        <w:spacing w:before="230"/>
      </w:pPr>
      <w:bookmarkStart w:id="20" w:name="MyTimeTable_&amp;_education_rooms"/>
      <w:bookmarkEnd w:id="20"/>
      <w:r>
        <w:t>MyTimeTable &amp; education rooms</w:t>
      </w:r>
    </w:p>
    <w:p w:rsidR="00592988" w:rsidRDefault="0011787E">
      <w:pPr>
        <w:pStyle w:val="BodyText"/>
        <w:spacing w:before="16" w:line="252" w:lineRule="auto"/>
        <w:ind w:left="200" w:right="309"/>
      </w:pPr>
      <w:r>
        <w:t xml:space="preserve">Since 2018-2019, timetables can only be viewed directly in </w:t>
      </w:r>
      <w:hyperlink r:id="rId14">
        <w:r>
          <w:rPr>
            <w:color w:val="0000FF"/>
            <w:u w:val="single" w:color="0000FF"/>
          </w:rPr>
          <w:t>My Timetable</w:t>
        </w:r>
        <w:r>
          <w:t xml:space="preserve">. </w:t>
        </w:r>
      </w:hyperlink>
      <w:r>
        <w:t xml:space="preserve">A </w:t>
      </w:r>
      <w:hyperlink r:id="rId15">
        <w:r>
          <w:rPr>
            <w:color w:val="0000FF"/>
            <w:u w:val="single" w:color="0000FF"/>
          </w:rPr>
          <w:t xml:space="preserve">manual </w:t>
        </w:r>
      </w:hyperlink>
      <w:r>
        <w:t xml:space="preserve">and </w:t>
      </w:r>
      <w:hyperlink r:id="rId16">
        <w:r>
          <w:rPr>
            <w:color w:val="0000FF"/>
            <w:u w:val="single" w:color="0000FF"/>
          </w:rPr>
          <w:t>general information</w:t>
        </w:r>
      </w:hyperlink>
      <w:r>
        <w:rPr>
          <w:color w:val="0000FF"/>
        </w:rPr>
        <w:t xml:space="preserve"> </w:t>
      </w:r>
      <w:r>
        <w:t xml:space="preserve">is available to learn more about MyTimetable. Information about the various classrooms can be found in </w:t>
      </w:r>
      <w:hyperlink r:id="rId17">
        <w:r>
          <w:rPr>
            <w:color w:val="0000FF"/>
            <w:u w:val="single" w:color="0000FF"/>
          </w:rPr>
          <w:t>education rooms</w:t>
        </w:r>
        <w:r>
          <w:t xml:space="preserve">. </w:t>
        </w:r>
      </w:hyperlink>
      <w:r>
        <w:t xml:space="preserve">Their locations can be found under </w:t>
      </w:r>
      <w:hyperlink r:id="rId18">
        <w:r>
          <w:rPr>
            <w:color w:val="0000FF"/>
            <w:u w:val="single" w:color="0000FF"/>
          </w:rPr>
          <w:t>Map &amp; buildings</w:t>
        </w:r>
        <w:r>
          <w:t>.</w:t>
        </w:r>
      </w:hyperlink>
    </w:p>
    <w:p w:rsidR="00592988" w:rsidRDefault="00592988">
      <w:pPr>
        <w:pStyle w:val="BodyText"/>
        <w:spacing w:before="8"/>
        <w:rPr>
          <w:sz w:val="26"/>
        </w:rPr>
      </w:pPr>
    </w:p>
    <w:p w:rsidR="00592988" w:rsidRDefault="0011787E">
      <w:pPr>
        <w:pStyle w:val="Heading2"/>
        <w:spacing w:before="93"/>
      </w:pPr>
      <w:bookmarkStart w:id="21" w:name="New_OSIRIS_interface"/>
      <w:bookmarkEnd w:id="21"/>
      <w:r>
        <w:t>New OSIRIS interface</w:t>
      </w:r>
    </w:p>
    <w:p w:rsidR="00592988" w:rsidRDefault="0011787E">
      <w:pPr>
        <w:pStyle w:val="BodyText"/>
        <w:spacing w:before="16" w:line="252" w:lineRule="auto"/>
        <w:ind w:left="200" w:right="498"/>
      </w:pPr>
      <w:r>
        <w:t xml:space="preserve">Since May 2018, Osiris has a new interface. The functionality is mainly the same but buttons might be in a different position as you are used to. If you need help, we refer to some helpful instruction videos via </w:t>
      </w:r>
      <w:hyperlink r:id="rId19">
        <w:r>
          <w:rPr>
            <w:color w:val="0000FF"/>
            <w:u w:val="single" w:color="0000FF"/>
          </w:rPr>
          <w:t>http://www.icto.tudelft.nl/tools/osiris</w:t>
        </w:r>
        <w:r>
          <w:t>.</w:t>
        </w:r>
      </w:hyperlink>
    </w:p>
    <w:p w:rsidR="00592988" w:rsidRDefault="0011787E">
      <w:pPr>
        <w:pStyle w:val="BodyText"/>
        <w:ind w:left="200"/>
      </w:pPr>
      <w:r>
        <w:t xml:space="preserve">Here you can also find a </w:t>
      </w:r>
      <w:hyperlink r:id="rId20">
        <w:r>
          <w:rPr>
            <w:color w:val="0000FF"/>
            <w:u w:val="single" w:color="0000FF"/>
          </w:rPr>
          <w:t>Quick Reference Guide on registering test grades</w:t>
        </w:r>
        <w:r>
          <w:t>.</w:t>
        </w:r>
      </w:hyperlink>
    </w:p>
    <w:p w:rsidR="00592988" w:rsidRDefault="00592988">
      <w:pPr>
        <w:pStyle w:val="BodyText"/>
        <w:spacing w:before="9"/>
        <w:rPr>
          <w:sz w:val="27"/>
        </w:rPr>
      </w:pPr>
    </w:p>
    <w:p w:rsidR="00592988" w:rsidRDefault="0011787E">
      <w:pPr>
        <w:pStyle w:val="Heading2"/>
      </w:pPr>
      <w:bookmarkStart w:id="22" w:name="Brightspace"/>
      <w:bookmarkEnd w:id="22"/>
      <w:r>
        <w:t>Brightspace</w:t>
      </w:r>
    </w:p>
    <w:p w:rsidR="00592988" w:rsidRDefault="0011787E">
      <w:pPr>
        <w:pStyle w:val="BodyText"/>
        <w:spacing w:before="14" w:line="249" w:lineRule="auto"/>
        <w:ind w:left="199" w:right="210"/>
      </w:pPr>
      <w:r>
        <w:t xml:space="preserve">As you now, your course for academic year 2018-2019 is now available in Brightspace. For more information, please refer to the course announcement and the </w:t>
      </w:r>
      <w:hyperlink r:id="rId21">
        <w:r>
          <w:rPr>
            <w:color w:val="0000FF"/>
            <w:u w:val="single" w:color="0000FF"/>
          </w:rPr>
          <w:t>support site</w:t>
        </w:r>
        <w:r>
          <w:t>.</w:t>
        </w:r>
      </w:hyperlink>
    </w:p>
    <w:p w:rsidR="00592988" w:rsidRDefault="00592988">
      <w:pPr>
        <w:spacing w:line="249" w:lineRule="auto"/>
        <w:sectPr w:rsidR="00592988">
          <w:pgSz w:w="11910" w:h="16840"/>
          <w:pgMar w:top="1340" w:right="940" w:bottom="920" w:left="880" w:header="0" w:footer="732" w:gutter="0"/>
          <w:cols w:space="708"/>
        </w:sectPr>
      </w:pPr>
    </w:p>
    <w:p w:rsidR="00592988" w:rsidRDefault="0011787E">
      <w:pPr>
        <w:pStyle w:val="BodyText"/>
        <w:spacing w:before="81" w:line="249" w:lineRule="auto"/>
        <w:ind w:left="199" w:right="388"/>
      </w:pPr>
      <w:r>
        <w:lastRenderedPageBreak/>
        <w:t xml:space="preserve">Please remember to set your course to ‘active’ to make your course visible and accessible for students. For instructions on how to activate your course, visit the </w:t>
      </w:r>
      <w:hyperlink r:id="rId22">
        <w:r>
          <w:rPr>
            <w:color w:val="0000FF"/>
            <w:u w:val="single" w:color="0000FF"/>
          </w:rPr>
          <w:t>Brightspace Support site</w:t>
        </w:r>
        <w:r>
          <w:t>.</w:t>
        </w:r>
      </w:hyperlink>
    </w:p>
    <w:p w:rsidR="00592988" w:rsidRDefault="0011787E">
      <w:pPr>
        <w:pStyle w:val="BodyText"/>
        <w:spacing w:before="165" w:line="252" w:lineRule="auto"/>
        <w:ind w:left="199" w:right="188"/>
      </w:pPr>
      <w:r>
        <w:t>We remind you that within 3mE students need to register for courses to be allowed to follow the course. All students are automatically enrolled within Brightspace, even when the course is inactive. If you want to provide students with group enrolment in the first week(s) contact Brightspace to allow the course to be active but not open to other students. Otherwise, once your course has been activated, students will be able to self- enrol in the course, through the Course Catalogue.</w:t>
      </w:r>
    </w:p>
    <w:p w:rsidR="00592988" w:rsidRDefault="00592988">
      <w:pPr>
        <w:pStyle w:val="BodyText"/>
        <w:rPr>
          <w:sz w:val="22"/>
        </w:rPr>
      </w:pPr>
    </w:p>
    <w:p w:rsidR="00592988" w:rsidRDefault="0011787E">
      <w:pPr>
        <w:pStyle w:val="Heading2"/>
        <w:spacing w:before="146"/>
      </w:pPr>
      <w:bookmarkStart w:id="23" w:name="General_Data_Protection_Regulation_(GDPR"/>
      <w:bookmarkEnd w:id="23"/>
      <w:r>
        <w:t>General Data Protection Regulation (GDPR / AVG)</w:t>
      </w:r>
    </w:p>
    <w:p w:rsidR="00592988" w:rsidRDefault="0011787E">
      <w:pPr>
        <w:pStyle w:val="BodyText"/>
        <w:spacing w:before="16" w:line="252" w:lineRule="auto"/>
        <w:ind w:left="199" w:right="142"/>
      </w:pPr>
      <w:r>
        <w:t xml:space="preserve">Since 25 May 2018, TU Delft must comply with the (European) General Data Protection Regulation (GDPR). This has consequences for how we handle personal data at TU Delft. Many things do not change, other things deserve extra attention. Hereby we give you some </w:t>
      </w:r>
      <w:hyperlink r:id="rId23">
        <w:r>
          <w:rPr>
            <w:color w:val="0000FF"/>
            <w:u w:val="single" w:color="0000FF"/>
          </w:rPr>
          <w:t>tips and information</w:t>
        </w:r>
        <w:r>
          <w:rPr>
            <w:color w:val="0000FF"/>
          </w:rPr>
          <w:t xml:space="preserve"> </w:t>
        </w:r>
      </w:hyperlink>
      <w:r>
        <w:t>on using personal data with education purposes.</w:t>
      </w:r>
    </w:p>
    <w:p w:rsidR="00592988" w:rsidRDefault="0011787E">
      <w:pPr>
        <w:pStyle w:val="BodyText"/>
        <w:spacing w:line="229" w:lineRule="exact"/>
        <w:ind w:left="199"/>
      </w:pPr>
      <w:r>
        <w:t xml:space="preserve">There is also an </w:t>
      </w:r>
      <w:hyperlink r:id="rId24">
        <w:r>
          <w:rPr>
            <w:color w:val="0000FF"/>
            <w:u w:val="single" w:color="0000FF"/>
          </w:rPr>
          <w:t>application list</w:t>
        </w:r>
        <w:r>
          <w:rPr>
            <w:color w:val="0000FF"/>
          </w:rPr>
          <w:t xml:space="preserve"> </w:t>
        </w:r>
      </w:hyperlink>
      <w:r>
        <w:t xml:space="preserve">provided by TU Delft that is GDPR approved and a </w:t>
      </w:r>
      <w:hyperlink r:id="rId25">
        <w:r>
          <w:rPr>
            <w:color w:val="0000FF"/>
            <w:u w:val="single" w:color="0000FF"/>
          </w:rPr>
          <w:t>do’s and don’ts list.</w:t>
        </w:r>
      </w:hyperlink>
    </w:p>
    <w:p w:rsidR="00592988" w:rsidRDefault="00592988">
      <w:pPr>
        <w:pStyle w:val="BodyText"/>
      </w:pPr>
    </w:p>
    <w:p w:rsidR="00592988" w:rsidRDefault="00592988">
      <w:pPr>
        <w:pStyle w:val="BodyText"/>
      </w:pPr>
    </w:p>
    <w:p w:rsidR="00592988" w:rsidRDefault="0011787E">
      <w:pPr>
        <w:pStyle w:val="Heading1"/>
        <w:spacing w:before="207"/>
      </w:pPr>
      <w:bookmarkStart w:id="24" w:name="ESA_3mE_-_Contact_persons"/>
      <w:bookmarkStart w:id="25" w:name="_bookmark5"/>
      <w:bookmarkEnd w:id="24"/>
      <w:bookmarkEnd w:id="25"/>
      <w:r>
        <w:t>ESA 3ME - CONTACT PERSONS</w:t>
      </w:r>
    </w:p>
    <w:p w:rsidR="00592988" w:rsidRDefault="00592988">
      <w:pPr>
        <w:pStyle w:val="BodyText"/>
        <w:rPr>
          <w:b/>
          <w:sz w:val="25"/>
        </w:rPr>
      </w:pPr>
    </w:p>
    <w:p w:rsidR="00592988" w:rsidRDefault="0011787E">
      <w:pPr>
        <w:pStyle w:val="BodyText"/>
        <w:spacing w:before="1"/>
        <w:ind w:left="308" w:right="4236"/>
      </w:pPr>
      <w:r>
        <w:rPr>
          <w:noProof/>
          <w:lang w:val="nl-NL" w:eastAsia="nl-NL" w:bidi="ar-SA"/>
        </w:rPr>
        <w:drawing>
          <wp:anchor distT="0" distB="0" distL="0" distR="0" simplePos="0" relativeHeight="251657216" behindDoc="0" locked="0" layoutInCell="1" allowOverlap="1">
            <wp:simplePos x="0" y="0"/>
            <wp:positionH relativeFrom="page">
              <wp:posOffset>4793532</wp:posOffset>
            </wp:positionH>
            <wp:positionV relativeFrom="paragraph">
              <wp:posOffset>54743</wp:posOffset>
            </wp:positionV>
            <wp:extent cx="1776003" cy="6621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6" cstate="print"/>
                    <a:stretch>
                      <a:fillRect/>
                    </a:stretch>
                  </pic:blipFill>
                  <pic:spPr>
                    <a:xfrm>
                      <a:off x="0" y="0"/>
                      <a:ext cx="1776003" cy="662119"/>
                    </a:xfrm>
                    <a:prstGeom prst="rect">
                      <a:avLst/>
                    </a:prstGeom>
                  </pic:spPr>
                </pic:pic>
              </a:graphicData>
            </a:graphic>
          </wp:anchor>
        </w:drawing>
      </w:r>
      <w:r>
        <w:t>Looking for a colleague, in either the Education Management Board, a master coordinator, or someone at the Department of Educations &amp; Student affairs 3mE or Board of Studies?</w:t>
      </w:r>
    </w:p>
    <w:p w:rsidR="00592988" w:rsidRDefault="00592988">
      <w:pPr>
        <w:pStyle w:val="BodyText"/>
        <w:spacing w:before="1"/>
      </w:pPr>
    </w:p>
    <w:p w:rsidR="00592988" w:rsidRDefault="0011787E">
      <w:pPr>
        <w:pStyle w:val="BodyText"/>
        <w:spacing w:before="1"/>
        <w:ind w:left="307" w:right="4282" w:hanging="1"/>
      </w:pPr>
      <w:r>
        <w:t xml:space="preserve">Have a look at our </w:t>
      </w:r>
      <w:hyperlink r:id="rId27">
        <w:r>
          <w:rPr>
            <w:color w:val="0000FF"/>
            <w:u w:val="single" w:color="0000FF"/>
          </w:rPr>
          <w:t>Education Organisation</w:t>
        </w:r>
        <w:r>
          <w:rPr>
            <w:color w:val="0000FF"/>
          </w:rPr>
          <w:t xml:space="preserve"> </w:t>
        </w:r>
      </w:hyperlink>
      <w:r>
        <w:t xml:space="preserve">&amp; </w:t>
      </w:r>
      <w:hyperlink r:id="rId28">
        <w:r>
          <w:rPr>
            <w:color w:val="0000FF"/>
            <w:u w:val="single" w:color="0000FF"/>
          </w:rPr>
          <w:t>Board of Studies</w:t>
        </w:r>
      </w:hyperlink>
      <w:r>
        <w:rPr>
          <w:color w:val="0000FF"/>
        </w:rPr>
        <w:t xml:space="preserve"> </w:t>
      </w:r>
      <w:r>
        <w:t>pages.</w:t>
      </w:r>
    </w:p>
    <w:p w:rsidR="00592988" w:rsidRDefault="00592988">
      <w:pPr>
        <w:pStyle w:val="BodyText"/>
        <w:spacing w:before="7"/>
        <w:rPr>
          <w:sz w:val="9"/>
        </w:rPr>
      </w:pPr>
    </w:p>
    <w:p w:rsidR="00592988" w:rsidRDefault="0011787E">
      <w:pPr>
        <w:pStyle w:val="Heading2"/>
        <w:ind w:left="920"/>
      </w:pPr>
      <w:bookmarkStart w:id="26" w:name="New_Online_&amp;_Blended_coordinator"/>
      <w:bookmarkEnd w:id="26"/>
      <w:r>
        <w:t>New Online &amp; Blended coordinator</w:t>
      </w:r>
    </w:p>
    <w:p w:rsidR="00592988" w:rsidRDefault="0011787E">
      <w:pPr>
        <w:pStyle w:val="BodyText"/>
        <w:spacing w:before="14" w:line="252" w:lineRule="auto"/>
        <w:ind w:left="919" w:right="267"/>
      </w:pPr>
      <w:r>
        <w:t xml:space="preserve">Since early September, there has been a coordinator for online and blended education. </w:t>
      </w:r>
      <w:r>
        <w:rPr>
          <w:b/>
        </w:rPr>
        <w:t xml:space="preserve">Carola van der Muren </w:t>
      </w:r>
      <w:r>
        <w:t>is our new colleague and the point of contact for any related matters – for example, highlighting our online initiatives, working with the Extension School and supporting the development of online and blended course components. (</w:t>
      </w:r>
      <w:hyperlink r:id="rId29">
        <w:r>
          <w:rPr>
            <w:color w:val="0000FF"/>
            <w:u w:val="single" w:color="0000FF"/>
          </w:rPr>
          <w:t>read more</w:t>
        </w:r>
      </w:hyperlink>
      <w:r>
        <w:t>)</w:t>
      </w:r>
    </w:p>
    <w:p w:rsidR="00592988" w:rsidRDefault="00592988">
      <w:pPr>
        <w:pStyle w:val="BodyText"/>
        <w:rPr>
          <w:sz w:val="27"/>
        </w:rPr>
      </w:pPr>
    </w:p>
    <w:p w:rsidR="00592988" w:rsidRDefault="0011787E">
      <w:pPr>
        <w:pStyle w:val="Heading2"/>
        <w:ind w:left="920"/>
      </w:pPr>
      <w:bookmarkStart w:id="27" w:name="New_Secretary_Board_of_Examiners"/>
      <w:bookmarkEnd w:id="27"/>
      <w:r>
        <w:t>New Secretary Board of Examiners</w:t>
      </w:r>
    </w:p>
    <w:p w:rsidR="00592988" w:rsidRDefault="0011787E">
      <w:pPr>
        <w:pStyle w:val="BodyText"/>
        <w:spacing w:before="11" w:line="252" w:lineRule="auto"/>
        <w:ind w:left="920" w:right="220"/>
      </w:pPr>
      <w:r>
        <w:t xml:space="preserve">Since early September, there has been a new secretary of the Board for Examiners. </w:t>
      </w:r>
      <w:r>
        <w:rPr>
          <w:b/>
        </w:rPr>
        <w:t xml:space="preserve">Nelie-Roos Hamelinck </w:t>
      </w:r>
      <w:r>
        <w:t xml:space="preserve">is the point of contact for any related matters cornering the Board of Examiners of 3mE and KT-TM. You can contact her via </w:t>
      </w:r>
      <w:hyperlink r:id="rId30">
        <w:r>
          <w:rPr>
            <w:color w:val="0000FF"/>
            <w:u w:val="single" w:color="0000FF"/>
          </w:rPr>
          <w:t>Boardofexaminers-3mE@tudelft.nl</w:t>
        </w:r>
        <w:r>
          <w:rPr>
            <w:color w:val="0000FF"/>
          </w:rPr>
          <w:t xml:space="preserve"> </w:t>
        </w:r>
      </w:hyperlink>
      <w:r>
        <w:t xml:space="preserve">(find more information on the </w:t>
      </w:r>
      <w:hyperlink r:id="rId31">
        <w:r>
          <w:rPr>
            <w:color w:val="0000FF"/>
            <w:u w:val="single" w:color="0000FF"/>
          </w:rPr>
          <w:t>website</w:t>
        </w:r>
      </w:hyperlink>
      <w:r>
        <w:t>)</w:t>
      </w:r>
    </w:p>
    <w:p w:rsidR="00592988" w:rsidRDefault="00592988">
      <w:pPr>
        <w:pStyle w:val="BodyText"/>
        <w:rPr>
          <w:sz w:val="27"/>
        </w:rPr>
      </w:pPr>
    </w:p>
    <w:p w:rsidR="00592988" w:rsidRDefault="0011787E">
      <w:pPr>
        <w:pStyle w:val="Heading2"/>
        <w:spacing w:before="93"/>
        <w:ind w:left="920"/>
      </w:pPr>
      <w:bookmarkStart w:id="28" w:name="New_Education_Coordinator_KT-TM"/>
      <w:bookmarkEnd w:id="28"/>
      <w:r>
        <w:t>New Education Coordinator KT-TM</w:t>
      </w:r>
    </w:p>
    <w:p w:rsidR="00592988" w:rsidRDefault="0011787E">
      <w:pPr>
        <w:pStyle w:val="BodyText"/>
        <w:spacing w:before="13" w:line="252" w:lineRule="auto"/>
        <w:ind w:left="920" w:right="467"/>
      </w:pPr>
      <w:r>
        <w:t xml:space="preserve">As of 15 October, </w:t>
      </w:r>
      <w:r>
        <w:rPr>
          <w:b/>
        </w:rPr>
        <w:t xml:space="preserve">Evelien van Klaveren </w:t>
      </w:r>
      <w:r>
        <w:t>is the new education coordinator for Clinical Technology. She will be the 3mE-point of contact for any KT-TM related matters.</w:t>
      </w:r>
    </w:p>
    <w:p w:rsidR="00592988" w:rsidRDefault="0011787E">
      <w:pPr>
        <w:pStyle w:val="BodyText"/>
        <w:spacing w:before="2"/>
        <w:ind w:left="920"/>
      </w:pPr>
      <w:r>
        <w:t xml:space="preserve">You can contact her via </w:t>
      </w:r>
      <w:hyperlink r:id="rId32">
        <w:r>
          <w:rPr>
            <w:color w:val="0000FF"/>
            <w:u w:val="single" w:color="0000FF"/>
          </w:rPr>
          <w:t>bachelor-kt@tudelft.nl</w:t>
        </w:r>
        <w:r>
          <w:t>.</w:t>
        </w:r>
      </w:hyperlink>
    </w:p>
    <w:p w:rsidR="00592988" w:rsidRDefault="00592988">
      <w:pPr>
        <w:pStyle w:val="BodyText"/>
      </w:pPr>
    </w:p>
    <w:p w:rsidR="00592988" w:rsidRDefault="00592988">
      <w:pPr>
        <w:pStyle w:val="BodyText"/>
        <w:spacing w:before="8"/>
        <w:rPr>
          <w:sz w:val="21"/>
        </w:rPr>
      </w:pPr>
    </w:p>
    <w:p w:rsidR="00592988" w:rsidRDefault="0011787E">
      <w:pPr>
        <w:pStyle w:val="Heading1"/>
        <w:spacing w:before="92"/>
      </w:pPr>
      <w:bookmarkStart w:id="29" w:name="Miscellaneous"/>
      <w:bookmarkStart w:id="30" w:name="_bookmark6"/>
      <w:bookmarkEnd w:id="29"/>
      <w:bookmarkEnd w:id="30"/>
      <w:r>
        <w:t>MISCELLANEOUS</w:t>
      </w:r>
    </w:p>
    <w:p w:rsidR="00592988" w:rsidRDefault="00592988">
      <w:pPr>
        <w:pStyle w:val="BodyText"/>
        <w:spacing w:before="3"/>
        <w:rPr>
          <w:b/>
          <w:sz w:val="34"/>
        </w:rPr>
      </w:pPr>
    </w:p>
    <w:p w:rsidR="00592988" w:rsidRDefault="0011787E">
      <w:pPr>
        <w:pStyle w:val="ListParagraph"/>
        <w:numPr>
          <w:ilvl w:val="1"/>
          <w:numId w:val="2"/>
        </w:numPr>
        <w:tabs>
          <w:tab w:val="left" w:pos="919"/>
          <w:tab w:val="left" w:pos="920"/>
        </w:tabs>
        <w:spacing w:line="249" w:lineRule="auto"/>
        <w:ind w:left="920" w:right="840"/>
        <w:rPr>
          <w:sz w:val="20"/>
        </w:rPr>
      </w:pPr>
      <w:r>
        <w:rPr>
          <w:sz w:val="20"/>
        </w:rPr>
        <w:t>Keep up-to-date on events of interest by visiting the</w:t>
      </w:r>
      <w:r>
        <w:rPr>
          <w:color w:val="0000FF"/>
          <w:sz w:val="20"/>
        </w:rPr>
        <w:t xml:space="preserve"> </w:t>
      </w:r>
      <w:hyperlink r:id="rId33">
        <w:r>
          <w:rPr>
            <w:color w:val="0000FF"/>
            <w:sz w:val="20"/>
            <w:u w:val="single" w:color="0000FF"/>
          </w:rPr>
          <w:t>Teaching Academy website</w:t>
        </w:r>
        <w:r>
          <w:rPr>
            <w:color w:val="0000FF"/>
            <w:sz w:val="20"/>
          </w:rPr>
          <w:t xml:space="preserve"> </w:t>
        </w:r>
      </w:hyperlink>
      <w:r>
        <w:rPr>
          <w:sz w:val="20"/>
        </w:rPr>
        <w:t>and the</w:t>
      </w:r>
      <w:hyperlink r:id="rId34">
        <w:r>
          <w:rPr>
            <w:color w:val="0000FF"/>
            <w:sz w:val="20"/>
          </w:rPr>
          <w:t xml:space="preserve"> </w:t>
        </w:r>
        <w:r>
          <w:rPr>
            <w:color w:val="0000FF"/>
            <w:sz w:val="20"/>
            <w:u w:val="single" w:color="0000FF"/>
          </w:rPr>
          <w:t>Open</w:t>
        </w:r>
      </w:hyperlink>
      <w:hyperlink r:id="rId35">
        <w:r>
          <w:rPr>
            <w:color w:val="0000FF"/>
            <w:sz w:val="20"/>
            <w:u w:val="single" w:color="0000FF"/>
          </w:rPr>
          <w:t xml:space="preserve"> Science</w:t>
        </w:r>
        <w:r>
          <w:rPr>
            <w:color w:val="0000FF"/>
            <w:spacing w:val="3"/>
            <w:sz w:val="20"/>
          </w:rPr>
          <w:t xml:space="preserve"> </w:t>
        </w:r>
      </w:hyperlink>
      <w:r>
        <w:rPr>
          <w:sz w:val="20"/>
        </w:rPr>
        <w:t>website.</w:t>
      </w:r>
    </w:p>
    <w:p w:rsidR="00592988" w:rsidRDefault="00592988">
      <w:pPr>
        <w:pStyle w:val="BodyText"/>
        <w:spacing w:before="6"/>
        <w:rPr>
          <w:sz w:val="12"/>
        </w:rPr>
      </w:pPr>
    </w:p>
    <w:p w:rsidR="00592988" w:rsidRDefault="0011787E">
      <w:pPr>
        <w:pStyle w:val="ListParagraph"/>
        <w:numPr>
          <w:ilvl w:val="1"/>
          <w:numId w:val="2"/>
        </w:numPr>
        <w:tabs>
          <w:tab w:val="left" w:pos="919"/>
          <w:tab w:val="left" w:pos="920"/>
        </w:tabs>
        <w:spacing w:before="99" w:line="249" w:lineRule="auto"/>
        <w:ind w:right="485" w:hanging="359"/>
        <w:rPr>
          <w:sz w:val="20"/>
        </w:rPr>
      </w:pPr>
      <w:r>
        <w:rPr>
          <w:sz w:val="20"/>
        </w:rPr>
        <w:t>Make the most of your teaching skills and optimize your online and blended education by following one of the edX courses. You can enrol throughout the year –</w:t>
      </w:r>
      <w:r>
        <w:rPr>
          <w:color w:val="0000FF"/>
          <w:sz w:val="20"/>
        </w:rPr>
        <w:t xml:space="preserve"> </w:t>
      </w:r>
      <w:hyperlink r:id="rId36">
        <w:r>
          <w:rPr>
            <w:color w:val="0000FF"/>
            <w:sz w:val="20"/>
            <w:u w:val="single" w:color="0000FF"/>
          </w:rPr>
          <w:t>find out what is on</w:t>
        </w:r>
        <w:r>
          <w:rPr>
            <w:color w:val="0000FF"/>
            <w:spacing w:val="-12"/>
            <w:sz w:val="20"/>
            <w:u w:val="single" w:color="0000FF"/>
          </w:rPr>
          <w:t xml:space="preserve"> </w:t>
        </w:r>
        <w:r>
          <w:rPr>
            <w:color w:val="0000FF"/>
            <w:sz w:val="20"/>
            <w:u w:val="single" w:color="0000FF"/>
          </w:rPr>
          <w:t>offer</w:t>
        </w:r>
        <w:r>
          <w:rPr>
            <w:sz w:val="20"/>
          </w:rPr>
          <w:t>.</w:t>
        </w:r>
      </w:hyperlink>
    </w:p>
    <w:sectPr w:rsidR="00592988">
      <w:pgSz w:w="11910" w:h="16840"/>
      <w:pgMar w:top="1340" w:right="940" w:bottom="920" w:left="880" w:header="0" w:footer="7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51F" w:rsidRDefault="0078751F">
      <w:r>
        <w:separator/>
      </w:r>
    </w:p>
  </w:endnote>
  <w:endnote w:type="continuationSeparator" w:id="0">
    <w:p w:rsidR="0078751F" w:rsidRDefault="0078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88" w:rsidRDefault="006C25A8">
    <w:pPr>
      <w:pStyle w:val="BodyText"/>
      <w:spacing w:line="14" w:lineRule="auto"/>
    </w:pPr>
    <w:r>
      <w:rPr>
        <w:noProof/>
        <w:lang w:val="nl-NL" w:eastAsia="nl-NL" w:bidi="ar-SA"/>
      </w:rPr>
      <mc:AlternateContent>
        <mc:Choice Requires="wps">
          <w:drawing>
            <wp:anchor distT="0" distB="0" distL="114300" distR="114300" simplePos="0" relativeHeight="251657728" behindDoc="1" locked="0" layoutInCell="1" allowOverlap="1">
              <wp:simplePos x="0" y="0"/>
              <wp:positionH relativeFrom="page">
                <wp:posOffset>673100</wp:posOffset>
              </wp:positionH>
              <wp:positionV relativeFrom="page">
                <wp:posOffset>10088245</wp:posOffset>
              </wp:positionV>
              <wp:extent cx="1162685" cy="167005"/>
              <wp:effectExtent l="0" t="1270" r="254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988" w:rsidRDefault="0011787E">
                          <w:pPr>
                            <w:pStyle w:val="BodyText"/>
                            <w:spacing w:before="12"/>
                            <w:ind w:left="20"/>
                          </w:pPr>
                          <w:r>
                            <w:t>2018.10.12 / GP-PA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pt;margin-top:794.35pt;width:9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pnqwIAAKk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" filled="f" stroked="f">
              <v:textbox inset="0,0,0,0">
                <w:txbxContent>
                  <w:p w:rsidR="00592988" w:rsidRDefault="0011787E">
                    <w:pPr>
                      <w:pStyle w:val="BodyText"/>
                      <w:spacing w:before="12"/>
                      <w:ind w:left="20"/>
                    </w:pPr>
                    <w:r>
                      <w:t>2018.10.12 / GP-PA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51F" w:rsidRDefault="0078751F">
      <w:r>
        <w:separator/>
      </w:r>
    </w:p>
  </w:footnote>
  <w:footnote w:type="continuationSeparator" w:id="0">
    <w:p w:rsidR="0078751F" w:rsidRDefault="00787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D2A"/>
    <w:multiLevelType w:val="hybridMultilevel"/>
    <w:tmpl w:val="7664748E"/>
    <w:lvl w:ilvl="0" w:tplc="D1C0430A">
      <w:start w:val="1"/>
      <w:numFmt w:val="decimal"/>
      <w:lvlText w:val="%1."/>
      <w:lvlJc w:val="left"/>
      <w:pPr>
        <w:ind w:left="919" w:hanging="360"/>
        <w:jc w:val="left"/>
      </w:pPr>
      <w:rPr>
        <w:rFonts w:ascii="Arial" w:eastAsia="Arial" w:hAnsi="Arial" w:cs="Arial" w:hint="default"/>
        <w:spacing w:val="-1"/>
        <w:w w:val="99"/>
        <w:sz w:val="20"/>
        <w:szCs w:val="20"/>
        <w:lang w:val="en-GB" w:eastAsia="en-GB" w:bidi="en-GB"/>
      </w:rPr>
    </w:lvl>
    <w:lvl w:ilvl="1" w:tplc="50B0EE78">
      <w:numFmt w:val="bullet"/>
      <w:lvlText w:val="•"/>
      <w:lvlJc w:val="left"/>
      <w:pPr>
        <w:ind w:left="1836" w:hanging="360"/>
      </w:pPr>
      <w:rPr>
        <w:rFonts w:hint="default"/>
        <w:lang w:val="en-GB" w:eastAsia="en-GB" w:bidi="en-GB"/>
      </w:rPr>
    </w:lvl>
    <w:lvl w:ilvl="2" w:tplc="265E4544">
      <w:numFmt w:val="bullet"/>
      <w:lvlText w:val="•"/>
      <w:lvlJc w:val="left"/>
      <w:pPr>
        <w:ind w:left="2753" w:hanging="360"/>
      </w:pPr>
      <w:rPr>
        <w:rFonts w:hint="default"/>
        <w:lang w:val="en-GB" w:eastAsia="en-GB" w:bidi="en-GB"/>
      </w:rPr>
    </w:lvl>
    <w:lvl w:ilvl="3" w:tplc="9CD41656">
      <w:numFmt w:val="bullet"/>
      <w:lvlText w:val="•"/>
      <w:lvlJc w:val="left"/>
      <w:pPr>
        <w:ind w:left="3669" w:hanging="360"/>
      </w:pPr>
      <w:rPr>
        <w:rFonts w:hint="default"/>
        <w:lang w:val="en-GB" w:eastAsia="en-GB" w:bidi="en-GB"/>
      </w:rPr>
    </w:lvl>
    <w:lvl w:ilvl="4" w:tplc="2A125E36">
      <w:numFmt w:val="bullet"/>
      <w:lvlText w:val="•"/>
      <w:lvlJc w:val="left"/>
      <w:pPr>
        <w:ind w:left="4586" w:hanging="360"/>
      </w:pPr>
      <w:rPr>
        <w:rFonts w:hint="default"/>
        <w:lang w:val="en-GB" w:eastAsia="en-GB" w:bidi="en-GB"/>
      </w:rPr>
    </w:lvl>
    <w:lvl w:ilvl="5" w:tplc="A30C733A">
      <w:numFmt w:val="bullet"/>
      <w:lvlText w:val="•"/>
      <w:lvlJc w:val="left"/>
      <w:pPr>
        <w:ind w:left="5503" w:hanging="360"/>
      </w:pPr>
      <w:rPr>
        <w:rFonts w:hint="default"/>
        <w:lang w:val="en-GB" w:eastAsia="en-GB" w:bidi="en-GB"/>
      </w:rPr>
    </w:lvl>
    <w:lvl w:ilvl="6" w:tplc="1668F0E6">
      <w:numFmt w:val="bullet"/>
      <w:lvlText w:val="•"/>
      <w:lvlJc w:val="left"/>
      <w:pPr>
        <w:ind w:left="6419" w:hanging="360"/>
      </w:pPr>
      <w:rPr>
        <w:rFonts w:hint="default"/>
        <w:lang w:val="en-GB" w:eastAsia="en-GB" w:bidi="en-GB"/>
      </w:rPr>
    </w:lvl>
    <w:lvl w:ilvl="7" w:tplc="479210E8">
      <w:numFmt w:val="bullet"/>
      <w:lvlText w:val="•"/>
      <w:lvlJc w:val="left"/>
      <w:pPr>
        <w:ind w:left="7336" w:hanging="360"/>
      </w:pPr>
      <w:rPr>
        <w:rFonts w:hint="default"/>
        <w:lang w:val="en-GB" w:eastAsia="en-GB" w:bidi="en-GB"/>
      </w:rPr>
    </w:lvl>
    <w:lvl w:ilvl="8" w:tplc="0CF6AD62">
      <w:numFmt w:val="bullet"/>
      <w:lvlText w:val="•"/>
      <w:lvlJc w:val="left"/>
      <w:pPr>
        <w:ind w:left="8253" w:hanging="360"/>
      </w:pPr>
      <w:rPr>
        <w:rFonts w:hint="default"/>
        <w:lang w:val="en-GB" w:eastAsia="en-GB" w:bidi="en-GB"/>
      </w:rPr>
    </w:lvl>
  </w:abstractNum>
  <w:abstractNum w:abstractNumId="1" w15:restartNumberingAfterBreak="0">
    <w:nsid w:val="158C59E0"/>
    <w:multiLevelType w:val="hybridMultilevel"/>
    <w:tmpl w:val="7286EBC0"/>
    <w:lvl w:ilvl="0" w:tplc="D772D648">
      <w:start w:val="1"/>
      <w:numFmt w:val="decimal"/>
      <w:lvlText w:val="%1."/>
      <w:lvlJc w:val="left"/>
      <w:pPr>
        <w:ind w:left="420" w:hanging="221"/>
        <w:jc w:val="left"/>
      </w:pPr>
      <w:rPr>
        <w:rFonts w:hint="default"/>
        <w:spacing w:val="-1"/>
        <w:w w:val="99"/>
        <w:u w:val="single" w:color="000000"/>
        <w:lang w:val="en-GB" w:eastAsia="en-GB" w:bidi="en-GB"/>
      </w:rPr>
    </w:lvl>
    <w:lvl w:ilvl="1" w:tplc="220218AE">
      <w:numFmt w:val="bullet"/>
      <w:lvlText w:val=""/>
      <w:lvlJc w:val="left"/>
      <w:pPr>
        <w:ind w:left="919" w:hanging="360"/>
      </w:pPr>
      <w:rPr>
        <w:rFonts w:ascii="Symbol" w:eastAsia="Symbol" w:hAnsi="Symbol" w:cs="Symbol" w:hint="default"/>
        <w:w w:val="99"/>
        <w:sz w:val="20"/>
        <w:szCs w:val="20"/>
        <w:lang w:val="en-GB" w:eastAsia="en-GB" w:bidi="en-GB"/>
      </w:rPr>
    </w:lvl>
    <w:lvl w:ilvl="2" w:tplc="3B801CC4">
      <w:numFmt w:val="bullet"/>
      <w:lvlText w:val="•"/>
      <w:lvlJc w:val="left"/>
      <w:pPr>
        <w:ind w:left="1938" w:hanging="360"/>
      </w:pPr>
      <w:rPr>
        <w:rFonts w:hint="default"/>
        <w:lang w:val="en-GB" w:eastAsia="en-GB" w:bidi="en-GB"/>
      </w:rPr>
    </w:lvl>
    <w:lvl w:ilvl="3" w:tplc="04BAA85A">
      <w:numFmt w:val="bullet"/>
      <w:lvlText w:val="•"/>
      <w:lvlJc w:val="left"/>
      <w:pPr>
        <w:ind w:left="2956" w:hanging="360"/>
      </w:pPr>
      <w:rPr>
        <w:rFonts w:hint="default"/>
        <w:lang w:val="en-GB" w:eastAsia="en-GB" w:bidi="en-GB"/>
      </w:rPr>
    </w:lvl>
    <w:lvl w:ilvl="4" w:tplc="2AA6ADCA">
      <w:numFmt w:val="bullet"/>
      <w:lvlText w:val="•"/>
      <w:lvlJc w:val="left"/>
      <w:pPr>
        <w:ind w:left="3975" w:hanging="360"/>
      </w:pPr>
      <w:rPr>
        <w:rFonts w:hint="default"/>
        <w:lang w:val="en-GB" w:eastAsia="en-GB" w:bidi="en-GB"/>
      </w:rPr>
    </w:lvl>
    <w:lvl w:ilvl="5" w:tplc="BAAAA48A">
      <w:numFmt w:val="bullet"/>
      <w:lvlText w:val="•"/>
      <w:lvlJc w:val="left"/>
      <w:pPr>
        <w:ind w:left="4993" w:hanging="360"/>
      </w:pPr>
      <w:rPr>
        <w:rFonts w:hint="default"/>
        <w:lang w:val="en-GB" w:eastAsia="en-GB" w:bidi="en-GB"/>
      </w:rPr>
    </w:lvl>
    <w:lvl w:ilvl="6" w:tplc="F2FC77AE">
      <w:numFmt w:val="bullet"/>
      <w:lvlText w:val="•"/>
      <w:lvlJc w:val="left"/>
      <w:pPr>
        <w:ind w:left="6012" w:hanging="360"/>
      </w:pPr>
      <w:rPr>
        <w:rFonts w:hint="default"/>
        <w:lang w:val="en-GB" w:eastAsia="en-GB" w:bidi="en-GB"/>
      </w:rPr>
    </w:lvl>
    <w:lvl w:ilvl="7" w:tplc="B994EF92">
      <w:numFmt w:val="bullet"/>
      <w:lvlText w:val="•"/>
      <w:lvlJc w:val="left"/>
      <w:pPr>
        <w:ind w:left="7030" w:hanging="360"/>
      </w:pPr>
      <w:rPr>
        <w:rFonts w:hint="default"/>
        <w:lang w:val="en-GB" w:eastAsia="en-GB" w:bidi="en-GB"/>
      </w:rPr>
    </w:lvl>
    <w:lvl w:ilvl="8" w:tplc="763EAA94">
      <w:numFmt w:val="bullet"/>
      <w:lvlText w:val="•"/>
      <w:lvlJc w:val="left"/>
      <w:pPr>
        <w:ind w:left="8049" w:hanging="360"/>
      </w:pPr>
      <w:rPr>
        <w:rFonts w:hint="default"/>
        <w:lang w:val="en-GB" w:eastAsia="en-GB" w:bidi="en-GB"/>
      </w:rPr>
    </w:lvl>
  </w:abstractNum>
  <w:abstractNum w:abstractNumId="2" w15:restartNumberingAfterBreak="0">
    <w:nsid w:val="33132C47"/>
    <w:multiLevelType w:val="hybridMultilevel"/>
    <w:tmpl w:val="C966EAB4"/>
    <w:lvl w:ilvl="0" w:tplc="AF6407E0">
      <w:numFmt w:val="bullet"/>
      <w:lvlText w:val="-"/>
      <w:lvlJc w:val="left"/>
      <w:pPr>
        <w:ind w:left="919" w:hanging="360"/>
      </w:pPr>
      <w:rPr>
        <w:rFonts w:ascii="Calibri" w:eastAsia="Calibri" w:hAnsi="Calibri" w:cs="Calibri" w:hint="default"/>
        <w:w w:val="99"/>
        <w:sz w:val="20"/>
        <w:szCs w:val="20"/>
        <w:lang w:val="en-GB" w:eastAsia="en-GB" w:bidi="en-GB"/>
      </w:rPr>
    </w:lvl>
    <w:lvl w:ilvl="1" w:tplc="9216B97C">
      <w:numFmt w:val="bullet"/>
      <w:lvlText w:val="•"/>
      <w:lvlJc w:val="left"/>
      <w:pPr>
        <w:ind w:left="1836" w:hanging="360"/>
      </w:pPr>
      <w:rPr>
        <w:rFonts w:hint="default"/>
        <w:lang w:val="en-GB" w:eastAsia="en-GB" w:bidi="en-GB"/>
      </w:rPr>
    </w:lvl>
    <w:lvl w:ilvl="2" w:tplc="595A6D50">
      <w:numFmt w:val="bullet"/>
      <w:lvlText w:val="•"/>
      <w:lvlJc w:val="left"/>
      <w:pPr>
        <w:ind w:left="2753" w:hanging="360"/>
      </w:pPr>
      <w:rPr>
        <w:rFonts w:hint="default"/>
        <w:lang w:val="en-GB" w:eastAsia="en-GB" w:bidi="en-GB"/>
      </w:rPr>
    </w:lvl>
    <w:lvl w:ilvl="3" w:tplc="2F1A45DE">
      <w:numFmt w:val="bullet"/>
      <w:lvlText w:val="•"/>
      <w:lvlJc w:val="left"/>
      <w:pPr>
        <w:ind w:left="3669" w:hanging="360"/>
      </w:pPr>
      <w:rPr>
        <w:rFonts w:hint="default"/>
        <w:lang w:val="en-GB" w:eastAsia="en-GB" w:bidi="en-GB"/>
      </w:rPr>
    </w:lvl>
    <w:lvl w:ilvl="4" w:tplc="E874613A">
      <w:numFmt w:val="bullet"/>
      <w:lvlText w:val="•"/>
      <w:lvlJc w:val="left"/>
      <w:pPr>
        <w:ind w:left="4586" w:hanging="360"/>
      </w:pPr>
      <w:rPr>
        <w:rFonts w:hint="default"/>
        <w:lang w:val="en-GB" w:eastAsia="en-GB" w:bidi="en-GB"/>
      </w:rPr>
    </w:lvl>
    <w:lvl w:ilvl="5" w:tplc="6B32D324">
      <w:numFmt w:val="bullet"/>
      <w:lvlText w:val="•"/>
      <w:lvlJc w:val="left"/>
      <w:pPr>
        <w:ind w:left="5503" w:hanging="360"/>
      </w:pPr>
      <w:rPr>
        <w:rFonts w:hint="default"/>
        <w:lang w:val="en-GB" w:eastAsia="en-GB" w:bidi="en-GB"/>
      </w:rPr>
    </w:lvl>
    <w:lvl w:ilvl="6" w:tplc="C0F2921E">
      <w:numFmt w:val="bullet"/>
      <w:lvlText w:val="•"/>
      <w:lvlJc w:val="left"/>
      <w:pPr>
        <w:ind w:left="6419" w:hanging="360"/>
      </w:pPr>
      <w:rPr>
        <w:rFonts w:hint="default"/>
        <w:lang w:val="en-GB" w:eastAsia="en-GB" w:bidi="en-GB"/>
      </w:rPr>
    </w:lvl>
    <w:lvl w:ilvl="7" w:tplc="02946452">
      <w:numFmt w:val="bullet"/>
      <w:lvlText w:val="•"/>
      <w:lvlJc w:val="left"/>
      <w:pPr>
        <w:ind w:left="7336" w:hanging="360"/>
      </w:pPr>
      <w:rPr>
        <w:rFonts w:hint="default"/>
        <w:lang w:val="en-GB" w:eastAsia="en-GB" w:bidi="en-GB"/>
      </w:rPr>
    </w:lvl>
    <w:lvl w:ilvl="8" w:tplc="2D88FF82">
      <w:numFmt w:val="bullet"/>
      <w:lvlText w:val="•"/>
      <w:lvlJc w:val="left"/>
      <w:pPr>
        <w:ind w:left="8253" w:hanging="360"/>
      </w:pPr>
      <w:rPr>
        <w:rFonts w:hint="default"/>
        <w:lang w:val="en-GB" w:eastAsia="en-GB" w:bidi="en-GB"/>
      </w:rPr>
    </w:lvl>
  </w:abstractNum>
  <w:abstractNum w:abstractNumId="3" w15:restartNumberingAfterBreak="0">
    <w:nsid w:val="47E27817"/>
    <w:multiLevelType w:val="hybridMultilevel"/>
    <w:tmpl w:val="AD5A03A8"/>
    <w:lvl w:ilvl="0" w:tplc="A55650FC">
      <w:numFmt w:val="bullet"/>
      <w:lvlText w:val="•"/>
      <w:lvlJc w:val="left"/>
      <w:pPr>
        <w:ind w:left="919" w:hanging="360"/>
      </w:pPr>
      <w:rPr>
        <w:rFonts w:ascii="Calibri" w:eastAsia="Calibri" w:hAnsi="Calibri" w:cs="Calibri" w:hint="default"/>
        <w:w w:val="99"/>
        <w:sz w:val="20"/>
        <w:szCs w:val="20"/>
        <w:lang w:val="en-GB" w:eastAsia="en-GB" w:bidi="en-GB"/>
      </w:rPr>
    </w:lvl>
    <w:lvl w:ilvl="1" w:tplc="27ECFDE4">
      <w:numFmt w:val="bullet"/>
      <w:lvlText w:val="•"/>
      <w:lvlJc w:val="left"/>
      <w:pPr>
        <w:ind w:left="1836" w:hanging="360"/>
      </w:pPr>
      <w:rPr>
        <w:rFonts w:hint="default"/>
        <w:lang w:val="en-GB" w:eastAsia="en-GB" w:bidi="en-GB"/>
      </w:rPr>
    </w:lvl>
    <w:lvl w:ilvl="2" w:tplc="BA1EC9DC">
      <w:numFmt w:val="bullet"/>
      <w:lvlText w:val="•"/>
      <w:lvlJc w:val="left"/>
      <w:pPr>
        <w:ind w:left="2753" w:hanging="360"/>
      </w:pPr>
      <w:rPr>
        <w:rFonts w:hint="default"/>
        <w:lang w:val="en-GB" w:eastAsia="en-GB" w:bidi="en-GB"/>
      </w:rPr>
    </w:lvl>
    <w:lvl w:ilvl="3" w:tplc="AFCEFEF2">
      <w:numFmt w:val="bullet"/>
      <w:lvlText w:val="•"/>
      <w:lvlJc w:val="left"/>
      <w:pPr>
        <w:ind w:left="3669" w:hanging="360"/>
      </w:pPr>
      <w:rPr>
        <w:rFonts w:hint="default"/>
        <w:lang w:val="en-GB" w:eastAsia="en-GB" w:bidi="en-GB"/>
      </w:rPr>
    </w:lvl>
    <w:lvl w:ilvl="4" w:tplc="2DFA1784">
      <w:numFmt w:val="bullet"/>
      <w:lvlText w:val="•"/>
      <w:lvlJc w:val="left"/>
      <w:pPr>
        <w:ind w:left="4586" w:hanging="360"/>
      </w:pPr>
      <w:rPr>
        <w:rFonts w:hint="default"/>
        <w:lang w:val="en-GB" w:eastAsia="en-GB" w:bidi="en-GB"/>
      </w:rPr>
    </w:lvl>
    <w:lvl w:ilvl="5" w:tplc="A296D8A0">
      <w:numFmt w:val="bullet"/>
      <w:lvlText w:val="•"/>
      <w:lvlJc w:val="left"/>
      <w:pPr>
        <w:ind w:left="5503" w:hanging="360"/>
      </w:pPr>
      <w:rPr>
        <w:rFonts w:hint="default"/>
        <w:lang w:val="en-GB" w:eastAsia="en-GB" w:bidi="en-GB"/>
      </w:rPr>
    </w:lvl>
    <w:lvl w:ilvl="6" w:tplc="14BE2754">
      <w:numFmt w:val="bullet"/>
      <w:lvlText w:val="•"/>
      <w:lvlJc w:val="left"/>
      <w:pPr>
        <w:ind w:left="6419" w:hanging="360"/>
      </w:pPr>
      <w:rPr>
        <w:rFonts w:hint="default"/>
        <w:lang w:val="en-GB" w:eastAsia="en-GB" w:bidi="en-GB"/>
      </w:rPr>
    </w:lvl>
    <w:lvl w:ilvl="7" w:tplc="30465C1E">
      <w:numFmt w:val="bullet"/>
      <w:lvlText w:val="•"/>
      <w:lvlJc w:val="left"/>
      <w:pPr>
        <w:ind w:left="7336" w:hanging="360"/>
      </w:pPr>
      <w:rPr>
        <w:rFonts w:hint="default"/>
        <w:lang w:val="en-GB" w:eastAsia="en-GB" w:bidi="en-GB"/>
      </w:rPr>
    </w:lvl>
    <w:lvl w:ilvl="8" w:tplc="4AF4D1C8">
      <w:numFmt w:val="bullet"/>
      <w:lvlText w:val="•"/>
      <w:lvlJc w:val="left"/>
      <w:pPr>
        <w:ind w:left="8253" w:hanging="360"/>
      </w:pPr>
      <w:rPr>
        <w:rFonts w:hint="default"/>
        <w:lang w:val="en-GB" w:eastAsia="en-GB" w:bidi="en-GB"/>
      </w:rPr>
    </w:lvl>
  </w:abstractNum>
  <w:abstractNum w:abstractNumId="4" w15:restartNumberingAfterBreak="0">
    <w:nsid w:val="5086592E"/>
    <w:multiLevelType w:val="hybridMultilevel"/>
    <w:tmpl w:val="E392105E"/>
    <w:lvl w:ilvl="0" w:tplc="3BF2FED0">
      <w:numFmt w:val="bullet"/>
      <w:lvlText w:val="-"/>
      <w:lvlJc w:val="left"/>
      <w:pPr>
        <w:ind w:left="200" w:hanging="123"/>
      </w:pPr>
      <w:rPr>
        <w:rFonts w:ascii="Arial" w:eastAsia="Arial" w:hAnsi="Arial" w:cs="Arial" w:hint="default"/>
        <w:w w:val="99"/>
        <w:sz w:val="20"/>
        <w:szCs w:val="20"/>
        <w:lang w:val="en-GB" w:eastAsia="en-GB" w:bidi="en-GB"/>
      </w:rPr>
    </w:lvl>
    <w:lvl w:ilvl="1" w:tplc="084A37D8">
      <w:start w:val="1"/>
      <w:numFmt w:val="lowerLetter"/>
      <w:lvlText w:val="%2."/>
      <w:lvlJc w:val="left"/>
      <w:pPr>
        <w:ind w:left="1140" w:hanging="221"/>
        <w:jc w:val="left"/>
      </w:pPr>
      <w:rPr>
        <w:rFonts w:ascii="Arial" w:eastAsia="Arial" w:hAnsi="Arial" w:cs="Arial" w:hint="default"/>
        <w:spacing w:val="-1"/>
        <w:w w:val="99"/>
        <w:sz w:val="20"/>
        <w:szCs w:val="20"/>
        <w:lang w:val="en-GB" w:eastAsia="en-GB" w:bidi="en-GB"/>
      </w:rPr>
    </w:lvl>
    <w:lvl w:ilvl="2" w:tplc="C466232C">
      <w:numFmt w:val="bullet"/>
      <w:lvlText w:val="•"/>
      <w:lvlJc w:val="left"/>
      <w:pPr>
        <w:ind w:left="2134" w:hanging="221"/>
      </w:pPr>
      <w:rPr>
        <w:rFonts w:hint="default"/>
        <w:lang w:val="en-GB" w:eastAsia="en-GB" w:bidi="en-GB"/>
      </w:rPr>
    </w:lvl>
    <w:lvl w:ilvl="3" w:tplc="9B269A4C">
      <w:numFmt w:val="bullet"/>
      <w:lvlText w:val="•"/>
      <w:lvlJc w:val="left"/>
      <w:pPr>
        <w:ind w:left="3128" w:hanging="221"/>
      </w:pPr>
      <w:rPr>
        <w:rFonts w:hint="default"/>
        <w:lang w:val="en-GB" w:eastAsia="en-GB" w:bidi="en-GB"/>
      </w:rPr>
    </w:lvl>
    <w:lvl w:ilvl="4" w:tplc="EEC2335C">
      <w:numFmt w:val="bullet"/>
      <w:lvlText w:val="•"/>
      <w:lvlJc w:val="left"/>
      <w:pPr>
        <w:ind w:left="4122" w:hanging="221"/>
      </w:pPr>
      <w:rPr>
        <w:rFonts w:hint="default"/>
        <w:lang w:val="en-GB" w:eastAsia="en-GB" w:bidi="en-GB"/>
      </w:rPr>
    </w:lvl>
    <w:lvl w:ilvl="5" w:tplc="BB9E31AE">
      <w:numFmt w:val="bullet"/>
      <w:lvlText w:val="•"/>
      <w:lvlJc w:val="left"/>
      <w:pPr>
        <w:ind w:left="5116" w:hanging="221"/>
      </w:pPr>
      <w:rPr>
        <w:rFonts w:hint="default"/>
        <w:lang w:val="en-GB" w:eastAsia="en-GB" w:bidi="en-GB"/>
      </w:rPr>
    </w:lvl>
    <w:lvl w:ilvl="6" w:tplc="6B46E136">
      <w:numFmt w:val="bullet"/>
      <w:lvlText w:val="•"/>
      <w:lvlJc w:val="left"/>
      <w:pPr>
        <w:ind w:left="6110" w:hanging="221"/>
      </w:pPr>
      <w:rPr>
        <w:rFonts w:hint="default"/>
        <w:lang w:val="en-GB" w:eastAsia="en-GB" w:bidi="en-GB"/>
      </w:rPr>
    </w:lvl>
    <w:lvl w:ilvl="7" w:tplc="4F4A223C">
      <w:numFmt w:val="bullet"/>
      <w:lvlText w:val="•"/>
      <w:lvlJc w:val="left"/>
      <w:pPr>
        <w:ind w:left="7104" w:hanging="221"/>
      </w:pPr>
      <w:rPr>
        <w:rFonts w:hint="default"/>
        <w:lang w:val="en-GB" w:eastAsia="en-GB" w:bidi="en-GB"/>
      </w:rPr>
    </w:lvl>
    <w:lvl w:ilvl="8" w:tplc="C9DECC7C">
      <w:numFmt w:val="bullet"/>
      <w:lvlText w:val="•"/>
      <w:lvlJc w:val="left"/>
      <w:pPr>
        <w:ind w:left="8098" w:hanging="221"/>
      </w:pPr>
      <w:rPr>
        <w:rFonts w:hint="default"/>
        <w:lang w:val="en-GB" w:eastAsia="en-GB" w:bidi="en-GB"/>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88"/>
    <w:rsid w:val="0011787E"/>
    <w:rsid w:val="00592988"/>
    <w:rsid w:val="006C25A8"/>
    <w:rsid w:val="0078751F"/>
    <w:rsid w:val="00B657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089098-ED44-44B7-8989-F1F14D26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
      <w:ind w:left="200"/>
      <w:outlineLvl w:val="0"/>
    </w:pPr>
    <w:rPr>
      <w:b/>
      <w:bCs/>
      <w:sz w:val="28"/>
      <w:szCs w:val="28"/>
    </w:rPr>
  </w:style>
  <w:style w:type="paragraph" w:styleId="Heading2">
    <w:name w:val="heading 2"/>
    <w:basedOn w:val="Normal"/>
    <w:uiPriority w:val="1"/>
    <w:qFormat/>
    <w:pPr>
      <w:spacing w:before="92"/>
      <w:ind w:left="200"/>
      <w:outlineLvl w:val="1"/>
    </w:pPr>
    <w:rPr>
      <w:b/>
      <w:bCs/>
      <w:sz w:val="24"/>
      <w:szCs w:val="24"/>
    </w:rPr>
  </w:style>
  <w:style w:type="paragraph" w:styleId="Heading3">
    <w:name w:val="heading 3"/>
    <w:basedOn w:val="Normal"/>
    <w:uiPriority w:val="1"/>
    <w:qFormat/>
    <w:pPr>
      <w:spacing w:before="16"/>
      <w:ind w:left="20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1"/>
      <w:ind w:left="20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19" w:hanging="360"/>
    </w:pPr>
  </w:style>
  <w:style w:type="paragraph" w:customStyle="1" w:styleId="TableParagraph">
    <w:name w:val="Table Paragraph"/>
    <w:basedOn w:val="Normal"/>
    <w:uiPriority w:val="1"/>
    <w:qFormat/>
    <w:pPr>
      <w:spacing w:line="210"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delft.nl/teachingacademy/formulieren/education-day-2018/" TargetMode="External"/><Relationship Id="rId13" Type="http://schemas.openxmlformats.org/officeDocument/2006/relationships/hyperlink" Target="https://www.tudelft.nl/en/student/education/examinations/registration-for-examinations/" TargetMode="External"/><Relationship Id="rId18" Type="http://schemas.openxmlformats.org/officeDocument/2006/relationships/hyperlink" Target="https://www.tudelft.nl/en/about-tu-delft/contact-and-accessibility/map-and-buildings/"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brightspace-support.tudelft.nl/" TargetMode="External"/><Relationship Id="rId34" Type="http://schemas.openxmlformats.org/officeDocument/2006/relationships/hyperlink" Target="https://www.tudelft.nl/library/actuele-themas/tu-delft-open-science/" TargetMode="External"/><Relationship Id="rId7" Type="http://schemas.openxmlformats.org/officeDocument/2006/relationships/hyperlink" Target="https://www.tudelft.nl/studenten/faculteiten/3me-studentenportal/voorzieningen/3me-jaarindeling/" TargetMode="External"/><Relationship Id="rId12" Type="http://schemas.openxmlformats.org/officeDocument/2006/relationships/hyperlink" Target="https://www.tudelft.nl/studenten/faculteiten/3me-studentenportal/onderwijs/gerelateerd/regelingen-reglementen/" TargetMode="External"/><Relationship Id="rId17" Type="http://schemas.openxmlformats.org/officeDocument/2006/relationships/hyperlink" Target="http://educationrooms.tudelft.nl/" TargetMode="External"/><Relationship Id="rId25" Type="http://schemas.openxmlformats.org/officeDocument/2006/relationships/hyperlink" Target="https://intranet.tudelft.nl/fileadmin/Files/medewerkersportal/ict/Afbeeldingen/ict-security/AVG/DO_DONT_AVG_V1.0_engels.jpg" TargetMode="External"/><Relationship Id="rId33" Type="http://schemas.openxmlformats.org/officeDocument/2006/relationships/hyperlink" Target="https://www.tudelft.nl/teachingacadem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ytimetable.tudelft.nl/help" TargetMode="External"/><Relationship Id="rId20" Type="http://schemas.openxmlformats.org/officeDocument/2006/relationships/hyperlink" Target="http://www.icto.tudelft.nl/fileadmin/Files/medewerkersportal/icto/ICTO/QRG_20Registering_20test_20grades_202018_20DEF.docx" TargetMode="External"/><Relationship Id="rId29" Type="http://schemas.openxmlformats.org/officeDocument/2006/relationships/hyperlink" Target="https://intranet.tudelft.nl/en/3me/latest-news/article/detail/nieuw-binnen-3me-cooerdinator-online-en-blended-edu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en.tudelft.nl/" TargetMode="External"/><Relationship Id="rId24" Type="http://schemas.openxmlformats.org/officeDocument/2006/relationships/hyperlink" Target="https://intranet.tudelft.nl/nl/services/fmvgict-pdc/veiligheid/welkom-op-de-security-website/algemene-verordening-gegevensbescherming-avg/applicatielijst/?login=1" TargetMode="External"/><Relationship Id="rId32" Type="http://schemas.openxmlformats.org/officeDocument/2006/relationships/hyperlink" Target="mailto:bachelor-kt@tudelft.n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ranet.tudelft.nl/fileadmin/Files/studentenportal/os/OS_algemeen/Roostering/20180831_Manual_MyTimetable.pdf" TargetMode="External"/><Relationship Id="rId23" Type="http://schemas.openxmlformats.org/officeDocument/2006/relationships/hyperlink" Target="https://intranet.tudelft.nl/en/services/fmreict-psc/safety/welcome-at-the-security-site/avg/frequently-asked-questions/privacy-education/" TargetMode="External"/><Relationship Id="rId28" Type="http://schemas.openxmlformats.org/officeDocument/2006/relationships/hyperlink" Target="https://www.tudelft.nl/studenten/faculteiten/3me-studentenportal/organisatie/opleidingscommissies/" TargetMode="External"/><Relationship Id="rId36" Type="http://schemas.openxmlformats.org/officeDocument/2006/relationships/hyperlink" Target="https://intranet.tudelft.nl/en/targeted-info/education/tu-delft-extension-school-support-for-online-education/how-can-we-support-you/training/" TargetMode="External"/><Relationship Id="rId10" Type="http://schemas.openxmlformats.org/officeDocument/2006/relationships/footer" Target="footer1.xml"/><Relationship Id="rId19" Type="http://schemas.openxmlformats.org/officeDocument/2006/relationships/hyperlink" Target="http://www.icto.tudelft.nl/tools/osiris" TargetMode="External"/><Relationship Id="rId31" Type="http://schemas.openxmlformats.org/officeDocument/2006/relationships/hyperlink" Target="https://www.tudelft.nl/en/student/faculties/3me-student-portal/organisation/boards-of-examiners/" TargetMode="External"/><Relationship Id="rId4" Type="http://schemas.openxmlformats.org/officeDocument/2006/relationships/webSettings" Target="webSettings.xml"/><Relationship Id="rId9" Type="http://schemas.openxmlformats.org/officeDocument/2006/relationships/hyperlink" Target="https://www.tudelft.nl/onderwijs/opleidingen/bachelors/kt/bsc-klinische-technologie/kom-langs/" TargetMode="External"/><Relationship Id="rId14" Type="http://schemas.openxmlformats.org/officeDocument/2006/relationships/hyperlink" Target="https://mytimetable.tudelft.nl/" TargetMode="External"/><Relationship Id="rId22" Type="http://schemas.openxmlformats.org/officeDocument/2006/relationships/hyperlink" Target="https://brightspace-support.tudelft.nl/setting-your-course-as-active-or-inactive-for-student-access/" TargetMode="External"/><Relationship Id="rId27" Type="http://schemas.openxmlformats.org/officeDocument/2006/relationships/hyperlink" Target="https://www.tudelft.nl/studenten/faculteiten/3me-studentenportal/organisatie/onderwijsorganisatie/medewerkers-os-3me/" TargetMode="External"/><Relationship Id="rId30" Type="http://schemas.openxmlformats.org/officeDocument/2006/relationships/hyperlink" Target="mailto:Boardofexaminers-3mE@tudelft.nl" TargetMode="External"/><Relationship Id="rId35" Type="http://schemas.openxmlformats.org/officeDocument/2006/relationships/hyperlink" Target="https://www.tudelft.nl/library/actuele-themas/tu-delft-open-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3154</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 Alons</dc:creator>
  <cp:lastModifiedBy>Pelle Alons</cp:lastModifiedBy>
  <cp:revision>4</cp:revision>
  <dcterms:created xsi:type="dcterms:W3CDTF">2019-01-29T08:21:00Z</dcterms:created>
  <dcterms:modified xsi:type="dcterms:W3CDTF">2019-01-29T09:51:00Z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Acrobat PDFMaker 18 for Word</vt:lpwstr>
  </property>
  <property fmtid="{D5CDD505-2E9C-101B-9397-08002B2CF9AE}" pid="4" name="LastSaved">
    <vt:filetime>2019-01-29T00:00:00Z</vt:filetime>
  </property>
</Properties>
</file>